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27,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Life360,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198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gridSpan w:val="3"/>
          </w:tcPr>
          <w:p>
            <w:pPr>
              <w:jc w:val="center"/>
              <w:ind w:left="3876"/>
              <w:spacing w:after="0"/>
              <w:rPr>
                <w:sz w:val="20"/>
                <w:szCs w:val="20"/>
                <w:color w:val="auto"/>
              </w:rPr>
            </w:pPr>
            <w:r>
              <w:rPr>
                <w:rFonts w:ascii="Arial" w:cs="Arial" w:eastAsia="Arial" w:hAnsi="Arial"/>
                <w:sz w:val="18"/>
                <w:szCs w:val="18"/>
                <w:b w:val="1"/>
                <w:bCs w:val="1"/>
                <w:color w:val="auto"/>
                <w:w w:val="91"/>
              </w:rPr>
              <w:t>26-0197666</w:t>
            </w:r>
          </w:p>
        </w:tc>
      </w:tr>
      <w:tr>
        <w:trPr>
          <w:trHeight w:val="148"/>
        </w:trPr>
        <w:tc>
          <w:tcPr>
            <w:tcW w:w="1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8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980" w:type="dxa"/>
            <w:vAlign w:val="bottom"/>
          </w:tcPr>
          <w:p>
            <w:pPr>
              <w:spacing w:after="0"/>
              <w:rPr>
                <w:sz w:val="24"/>
                <w:szCs w:val="24"/>
                <w:color w:val="auto"/>
              </w:rPr>
            </w:pPr>
          </w:p>
        </w:tc>
        <w:tc>
          <w:tcPr>
            <w:tcW w:w="5080" w:type="dxa"/>
            <w:vAlign w:val="bottom"/>
            <w:gridSpan w:val="3"/>
          </w:tcPr>
          <w:p>
            <w:pPr>
              <w:jc w:val="center"/>
              <w:ind w:right="1648"/>
              <w:spacing w:after="0"/>
              <w:rPr>
                <w:sz w:val="20"/>
                <w:szCs w:val="20"/>
                <w:color w:val="auto"/>
              </w:rPr>
            </w:pPr>
            <w:r>
              <w:rPr>
                <w:rFonts w:ascii="Arial" w:cs="Arial" w:eastAsia="Arial" w:hAnsi="Arial"/>
                <w:sz w:val="18"/>
                <w:szCs w:val="18"/>
                <w:b w:val="1"/>
                <w:bCs w:val="1"/>
                <w:color w:val="auto"/>
                <w:w w:val="90"/>
              </w:rPr>
              <w:t>1900 South Norfolk Street, Suite 310</w:t>
            </w:r>
          </w:p>
        </w:tc>
      </w:tr>
      <w:tr>
        <w:trPr>
          <w:trHeight w:val="212"/>
        </w:trPr>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60" w:type="dxa"/>
            <w:vAlign w:val="bottom"/>
            <w:gridSpan w:val="2"/>
          </w:tcPr>
          <w:p>
            <w:pPr>
              <w:jc w:val="center"/>
              <w:ind w:right="2168"/>
              <w:spacing w:after="0"/>
              <w:rPr>
                <w:sz w:val="20"/>
                <w:szCs w:val="20"/>
                <w:color w:val="auto"/>
              </w:rPr>
            </w:pPr>
            <w:r>
              <w:rPr>
                <w:rFonts w:ascii="Arial" w:cs="Arial" w:eastAsia="Arial" w:hAnsi="Arial"/>
                <w:sz w:val="18"/>
                <w:szCs w:val="18"/>
                <w:b w:val="1"/>
                <w:bCs w:val="1"/>
                <w:color w:val="auto"/>
                <w:w w:val="92"/>
              </w:rPr>
              <w:t>San Mateo, California 94107</w:t>
            </w:r>
          </w:p>
        </w:tc>
      </w:tr>
      <w:tr>
        <w:trPr>
          <w:trHeight w:val="186"/>
        </w:trPr>
        <w:tc>
          <w:tcPr>
            <w:tcW w:w="1980" w:type="dxa"/>
            <w:vAlign w:val="bottom"/>
          </w:tcPr>
          <w:p>
            <w:pPr>
              <w:spacing w:after="0"/>
              <w:rPr>
                <w:sz w:val="16"/>
                <w:szCs w:val="16"/>
                <w:color w:val="auto"/>
              </w:rPr>
            </w:pPr>
          </w:p>
        </w:tc>
        <w:tc>
          <w:tcPr>
            <w:tcW w:w="5080" w:type="dxa"/>
            <w:vAlign w:val="bottom"/>
            <w:gridSpan w:val="3"/>
          </w:tcPr>
          <w:p>
            <w:pPr>
              <w:jc w:val="center"/>
              <w:ind w:right="1648"/>
              <w:spacing w:after="0"/>
              <w:rPr>
                <w:sz w:val="20"/>
                <w:szCs w:val="20"/>
                <w:color w:val="auto"/>
              </w:rPr>
            </w:pPr>
            <w:r>
              <w:rPr>
                <w:rFonts w:ascii="Arial" w:cs="Arial" w:eastAsia="Arial" w:hAnsi="Arial"/>
                <w:sz w:val="14"/>
                <w:szCs w:val="14"/>
                <w:b w:val="1"/>
                <w:bCs w:val="1"/>
                <w:color w:val="auto"/>
                <w:w w:val="93"/>
              </w:rPr>
              <w:t>(Address of Principal Executive Offices) (Zip Code)</w:t>
            </w:r>
          </w:p>
        </w:tc>
      </w:tr>
      <w:tr>
        <w:trPr>
          <w:trHeight w:val="350"/>
        </w:trPr>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403"/>
        </w:trPr>
        <w:tc>
          <w:tcPr>
            <w:tcW w:w="1980" w:type="dxa"/>
            <w:vAlign w:val="bottom"/>
          </w:tcPr>
          <w:p>
            <w:pPr>
              <w:spacing w:after="0"/>
              <w:rPr>
                <w:sz w:val="24"/>
                <w:szCs w:val="24"/>
                <w:color w:val="auto"/>
              </w:rPr>
            </w:pPr>
          </w:p>
        </w:tc>
        <w:tc>
          <w:tcPr>
            <w:tcW w:w="5080" w:type="dxa"/>
            <w:vAlign w:val="bottom"/>
            <w:gridSpan w:val="3"/>
          </w:tcPr>
          <w:p>
            <w:pPr>
              <w:jc w:val="center"/>
              <w:ind w:right="1628"/>
              <w:spacing w:after="0"/>
              <w:rPr>
                <w:sz w:val="20"/>
                <w:szCs w:val="20"/>
                <w:color w:val="auto"/>
              </w:rPr>
            </w:pPr>
            <w:r>
              <w:rPr>
                <w:rFonts w:ascii="Arial" w:cs="Arial" w:eastAsia="Arial" w:hAnsi="Arial"/>
                <w:sz w:val="18"/>
                <w:szCs w:val="18"/>
                <w:b w:val="1"/>
                <w:bCs w:val="1"/>
                <w:color w:val="auto"/>
                <w:w w:val="89"/>
              </w:rPr>
              <w:t>Amended and Restated 2011 Stock Plan</w:t>
            </w:r>
          </w:p>
        </w:tc>
      </w:tr>
      <w:tr>
        <w:trPr>
          <w:trHeight w:val="186"/>
        </w:trPr>
        <w:tc>
          <w:tcPr>
            <w:tcW w:w="1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60" w:type="dxa"/>
            <w:vAlign w:val="bottom"/>
            <w:gridSpan w:val="2"/>
          </w:tcPr>
          <w:p>
            <w:pPr>
              <w:jc w:val="center"/>
              <w:ind w:right="2168"/>
              <w:spacing w:after="0"/>
              <w:rPr>
                <w:sz w:val="20"/>
                <w:szCs w:val="20"/>
                <w:color w:val="auto"/>
              </w:rPr>
            </w:pPr>
            <w:r>
              <w:rPr>
                <w:rFonts w:ascii="Arial" w:cs="Arial" w:eastAsia="Arial" w:hAnsi="Arial"/>
                <w:sz w:val="14"/>
                <w:szCs w:val="14"/>
                <w:b w:val="1"/>
                <w:bCs w:val="1"/>
                <w:color w:val="auto"/>
                <w:w w:val="95"/>
              </w:rPr>
              <w:t>(Full title of the plan)</w:t>
            </w:r>
          </w:p>
        </w:tc>
      </w:tr>
      <w:tr>
        <w:trPr>
          <w:trHeight w:val="336"/>
        </w:trPr>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407"/>
        </w:trPr>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60" w:type="dxa"/>
            <w:vAlign w:val="bottom"/>
            <w:gridSpan w:val="2"/>
          </w:tcPr>
          <w:p>
            <w:pPr>
              <w:jc w:val="center"/>
              <w:ind w:right="2168"/>
              <w:spacing w:after="0"/>
              <w:rPr>
                <w:sz w:val="20"/>
                <w:szCs w:val="20"/>
                <w:color w:val="auto"/>
              </w:rPr>
            </w:pPr>
            <w:r>
              <w:rPr>
                <w:rFonts w:ascii="Arial" w:cs="Arial" w:eastAsia="Arial" w:hAnsi="Arial"/>
                <w:sz w:val="18"/>
                <w:szCs w:val="18"/>
                <w:b w:val="1"/>
                <w:bCs w:val="1"/>
                <w:color w:val="auto"/>
                <w:w w:val="89"/>
              </w:rPr>
              <w:t>Russell Burke</w:t>
            </w:r>
          </w:p>
        </w:tc>
      </w:tr>
      <w:tr>
        <w:trPr>
          <w:trHeight w:val="216"/>
        </w:trPr>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60" w:type="dxa"/>
            <w:vAlign w:val="bottom"/>
            <w:gridSpan w:val="2"/>
          </w:tcPr>
          <w:p>
            <w:pPr>
              <w:jc w:val="center"/>
              <w:ind w:right="2148"/>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60" w:type="dxa"/>
            <w:vAlign w:val="bottom"/>
            <w:gridSpan w:val="2"/>
          </w:tcPr>
          <w:p>
            <w:pPr>
              <w:jc w:val="center"/>
              <w:ind w:right="2168"/>
              <w:spacing w:after="0"/>
              <w:rPr>
                <w:sz w:val="20"/>
                <w:szCs w:val="20"/>
                <w:color w:val="auto"/>
              </w:rPr>
            </w:pPr>
            <w:r>
              <w:rPr>
                <w:rFonts w:ascii="Arial" w:cs="Arial" w:eastAsia="Arial" w:hAnsi="Arial"/>
                <w:sz w:val="18"/>
                <w:szCs w:val="18"/>
                <w:b w:val="1"/>
                <w:bCs w:val="1"/>
                <w:color w:val="auto"/>
                <w:w w:val="93"/>
              </w:rPr>
              <w:t>Life360, Inc.</w:t>
            </w:r>
          </w:p>
        </w:tc>
      </w:tr>
      <w:tr>
        <w:trPr>
          <w:trHeight w:val="216"/>
        </w:trPr>
        <w:tc>
          <w:tcPr>
            <w:tcW w:w="1980" w:type="dxa"/>
            <w:vAlign w:val="bottom"/>
          </w:tcPr>
          <w:p>
            <w:pPr>
              <w:spacing w:after="0"/>
              <w:rPr>
                <w:sz w:val="18"/>
                <w:szCs w:val="18"/>
                <w:color w:val="auto"/>
              </w:rPr>
            </w:pPr>
          </w:p>
        </w:tc>
        <w:tc>
          <w:tcPr>
            <w:tcW w:w="5080" w:type="dxa"/>
            <w:vAlign w:val="bottom"/>
            <w:gridSpan w:val="3"/>
          </w:tcPr>
          <w:p>
            <w:pPr>
              <w:jc w:val="center"/>
              <w:ind w:right="1648"/>
              <w:spacing w:after="0"/>
              <w:rPr>
                <w:sz w:val="20"/>
                <w:szCs w:val="20"/>
                <w:color w:val="auto"/>
              </w:rPr>
            </w:pPr>
            <w:r>
              <w:rPr>
                <w:rFonts w:ascii="Arial" w:cs="Arial" w:eastAsia="Arial" w:hAnsi="Arial"/>
                <w:sz w:val="18"/>
                <w:szCs w:val="18"/>
                <w:b w:val="1"/>
                <w:bCs w:val="1"/>
                <w:color w:val="auto"/>
                <w:w w:val="90"/>
              </w:rPr>
              <w:t>1900 South Norfolk Street, Suite 310</w:t>
            </w:r>
          </w:p>
        </w:tc>
      </w:tr>
      <w:tr>
        <w:trPr>
          <w:trHeight w:val="212"/>
        </w:trPr>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60" w:type="dxa"/>
            <w:vAlign w:val="bottom"/>
            <w:gridSpan w:val="2"/>
          </w:tcPr>
          <w:p>
            <w:pPr>
              <w:jc w:val="center"/>
              <w:ind w:right="2168"/>
              <w:spacing w:after="0"/>
              <w:rPr>
                <w:sz w:val="20"/>
                <w:szCs w:val="20"/>
                <w:color w:val="auto"/>
              </w:rPr>
            </w:pPr>
            <w:r>
              <w:rPr>
                <w:rFonts w:ascii="Arial" w:cs="Arial" w:eastAsia="Arial" w:hAnsi="Arial"/>
                <w:sz w:val="18"/>
                <w:szCs w:val="18"/>
                <w:b w:val="1"/>
                <w:bCs w:val="1"/>
                <w:color w:val="auto"/>
                <w:w w:val="92"/>
              </w:rPr>
              <w:t>San Mateo, California 94107</w:t>
            </w:r>
          </w:p>
        </w:tc>
      </w:tr>
      <w:tr>
        <w:trPr>
          <w:trHeight w:val="186"/>
        </w:trPr>
        <w:tc>
          <w:tcPr>
            <w:tcW w:w="1980" w:type="dxa"/>
            <w:vAlign w:val="bottom"/>
          </w:tcPr>
          <w:p>
            <w:pPr>
              <w:spacing w:after="0"/>
              <w:rPr>
                <w:sz w:val="16"/>
                <w:szCs w:val="16"/>
                <w:color w:val="auto"/>
              </w:rPr>
            </w:pPr>
          </w:p>
        </w:tc>
        <w:tc>
          <w:tcPr>
            <w:tcW w:w="5080" w:type="dxa"/>
            <w:vAlign w:val="bottom"/>
            <w:gridSpan w:val="3"/>
          </w:tcPr>
          <w:p>
            <w:pPr>
              <w:jc w:val="center"/>
              <w:ind w:right="1648"/>
              <w:spacing w:after="0"/>
              <w:rPr>
                <w:sz w:val="20"/>
                <w:szCs w:val="20"/>
                <w:color w:val="auto"/>
              </w:rPr>
            </w:pPr>
            <w:r>
              <w:rPr>
                <w:rFonts w:ascii="Arial" w:cs="Arial" w:eastAsia="Arial" w:hAnsi="Arial"/>
                <w:sz w:val="14"/>
                <w:szCs w:val="14"/>
                <w:b w:val="1"/>
                <w:bCs w:val="1"/>
                <w:color w:val="auto"/>
                <w:w w:val="91"/>
              </w:rPr>
              <w:t>(Name and address of agent for service)</w:t>
            </w:r>
          </w:p>
        </w:tc>
      </w:tr>
      <w:tr>
        <w:trPr>
          <w:trHeight w:val="410"/>
        </w:trPr>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60" w:type="dxa"/>
            <w:vAlign w:val="bottom"/>
            <w:gridSpan w:val="2"/>
          </w:tcPr>
          <w:p>
            <w:pPr>
              <w:jc w:val="center"/>
              <w:ind w:right="2148"/>
              <w:spacing w:after="0"/>
              <w:rPr>
                <w:sz w:val="20"/>
                <w:szCs w:val="20"/>
                <w:color w:val="auto"/>
              </w:rPr>
            </w:pPr>
            <w:r>
              <w:rPr>
                <w:rFonts w:ascii="Arial" w:cs="Arial" w:eastAsia="Arial" w:hAnsi="Arial"/>
                <w:sz w:val="18"/>
                <w:szCs w:val="18"/>
                <w:b w:val="1"/>
                <w:bCs w:val="1"/>
                <w:color w:val="auto"/>
                <w:w w:val="90"/>
              </w:rPr>
              <w:t>Telephone: (415) 484-5244</w:t>
            </w:r>
          </w:p>
        </w:tc>
      </w:tr>
    </w:tbl>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Tom Hopkins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Siana Lowrey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Natalie Karam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1333 2nd Street Suite 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Monica, CA 90401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 883 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74"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527"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Life360, Inc. (the “Registrant”) is filing this registration statement on Form S-8 (the “Registration Statement”) with the Securities and Exchange Commission (the “SEC”) to register the offering of an additional 4,435,130 shares (the “Registered Shares”) of Common Stock, par value $0.001 per share (“Common Stock”), of the Registrant. The 4,435,130 shares of Common Stock being registered herein are issuable pursuant to the Life360, Inc. Amended and Restated 2011 Stock Plan (the “Stock Plan”). These additional shares of Common Stock are securities of the same class as other securities for which an original registration statement on Form S-8 (File No. 333-268528) was filed with the SEC on November 22, 2022 (the “Prior Registration Statement”). Accordingly, the contents of the Prior Registration Statement are incorporated by reference into this Registration Statement pursuant to General Instruction E of Form S-8. The Registered Shares represent (i) 3,261,992 shares of Common Stock reserved for issuance as a result of the operation of the “evergreen” provision in the Stock Plan, which provides that the total number of shares subject to the Stock Plan may be increased on January 1 of each year pursuant to a specified formula and (ii) 1,173,138 additional shares of Common Stock to register the remaining shares reserved under the Stock Plan and not previously registered. As a result of the foregoing, the number of shares of common stock reserved under the Plan is now 30,556,441.</w:t>
      </w:r>
    </w:p>
    <w:p>
      <w:pPr>
        <w:sectPr>
          <w:pgSz w:w="11900" w:h="16838" w:orient="portrait"/>
          <w:cols w:equalWidth="0" w:num="1">
            <w:col w:w="10980"/>
          </w:cols>
          <w:pgMar w:left="440" w:top="270" w:right="4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Life 360, Inc. (the “Registrant”) hereby incorporates by reference into this Registration Statement the following documents previously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116"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Company’s 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23, 2023;</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Company’s Quarterly Reports on Form 10-Q for the three and six months ended </w:t>
      </w:r>
      <w:hyperlink r:id="rId20">
        <w:r>
          <w:rPr>
            <w:rFonts w:ascii="Arial" w:cs="Arial" w:eastAsia="Arial" w:hAnsi="Arial"/>
            <w:sz w:val="18"/>
            <w:szCs w:val="18"/>
            <w:u w:val="single" w:color="auto"/>
            <w:color w:val="0000EE"/>
          </w:rPr>
          <w:t>March 31,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
        <w:r>
          <w:rPr>
            <w:rFonts w:ascii="Arial" w:cs="Arial" w:eastAsia="Arial" w:hAnsi="Arial"/>
            <w:sz w:val="18"/>
            <w:szCs w:val="18"/>
            <w:u w:val="single" w:color="auto"/>
            <w:color w:val="0000EE"/>
          </w:rPr>
          <w:t>June 30, 2023</w:t>
        </w:r>
      </w:hyperlink>
      <w:r>
        <w:rPr>
          <w:rFonts w:ascii="Arial" w:cs="Arial" w:eastAsia="Arial" w:hAnsi="Arial"/>
          <w:sz w:val="18"/>
          <w:szCs w:val="18"/>
          <w:color w:val="auto"/>
        </w:rPr>
        <w:t>, filed with the SEC on May 15, 2023 and August 14 2023, respectively;</w:t>
      </w:r>
    </w:p>
    <w:p>
      <w:pPr>
        <w:spacing w:after="0" w:line="75" w:lineRule="exact"/>
        <w:rPr>
          <w:rFonts w:ascii="Arial" w:cs="Arial" w:eastAsia="Arial" w:hAnsi="Arial"/>
          <w:sz w:val="18"/>
          <w:szCs w:val="18"/>
          <w:color w:val="auto"/>
        </w:rPr>
      </w:pPr>
    </w:p>
    <w:p>
      <w:pPr>
        <w:jc w:val="both"/>
        <w:ind w:left="960" w:right="200" w:hanging="532"/>
        <w:spacing w:after="0" w:line="263" w:lineRule="auto"/>
        <w:tabs>
          <w:tab w:leader="none" w:pos="960" w:val="left"/>
        </w:tabs>
        <w:numPr>
          <w:ilvl w:val="0"/>
          <w:numId w:val="1"/>
        </w:numPr>
        <w:rPr>
          <w:rFonts w:ascii="Arial" w:cs="Arial" w:eastAsia="Arial" w:hAnsi="Arial"/>
          <w:sz w:val="18"/>
          <w:szCs w:val="18"/>
          <w:color w:val="0000EE"/>
        </w:rPr>
      </w:pPr>
      <w:hyperlink r:id="rId22">
        <w:r>
          <w:rPr>
            <w:rFonts w:ascii="Arial" w:cs="Arial" w:eastAsia="Arial" w:hAnsi="Arial"/>
            <w:sz w:val="18"/>
            <w:szCs w:val="18"/>
            <w:color w:val="auto"/>
          </w:rPr>
          <w:t xml:space="preserve">The Registrant’s Current Reports on Form 8-K filed on </w:t>
        </w:r>
        <w:r>
          <w:rPr>
            <w:rFonts w:ascii="Arial" w:cs="Arial" w:eastAsia="Arial" w:hAnsi="Arial"/>
            <w:sz w:val="18"/>
            <w:szCs w:val="18"/>
            <w:u w:val="single" w:color="auto"/>
            <w:color w:val="0000EE"/>
          </w:rPr>
          <w:t>January 12, 2023</w:t>
        </w:r>
        <w:r>
          <w:rPr>
            <w:rFonts w:ascii="Arial" w:cs="Arial" w:eastAsia="Arial" w:hAnsi="Arial"/>
            <w:sz w:val="18"/>
            <w:szCs w:val="18"/>
            <w:color w:val="auto"/>
          </w:rPr>
          <w:t xml:space="preserve"> (Item 2.05 only), </w:t>
        </w:r>
        <w:r>
          <w:rPr>
            <w:rFonts w:ascii="Arial" w:cs="Arial" w:eastAsia="Arial" w:hAnsi="Arial"/>
            <w:sz w:val="18"/>
            <w:szCs w:val="18"/>
            <w:u w:val="single" w:color="auto"/>
            <w:color w:val="0000EE"/>
          </w:rPr>
          <w:t>January 19,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10,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2023</w:t>
        </w:r>
        <w:r>
          <w:rPr>
            <w:rFonts w:ascii="Arial" w:cs="Arial" w:eastAsia="Arial" w:hAnsi="Arial"/>
            <w:sz w:val="18"/>
            <w:szCs w:val="18"/>
            <w:color w:val="0000EE"/>
          </w:rPr>
          <w:t xml:space="preserve"> </w:t>
        </w:r>
        <w:r>
          <w:rPr>
            <w:rFonts w:ascii="Arial" w:cs="Arial" w:eastAsia="Arial" w:hAnsi="Arial"/>
            <w:sz w:val="18"/>
            <w:szCs w:val="18"/>
            <w:color w:val="000000"/>
          </w:rPr>
          <w:t>(Item 5.02 only), and</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 xml:space="preserve">June 1, 2023 </w:t>
        </w:r>
      </w:hyperlink>
      <w:hyperlink r:id="rId22">
        <w:r>
          <w:rPr>
            <w:rFonts w:ascii="Arial" w:cs="Arial" w:eastAsia="Arial" w:hAnsi="Arial"/>
            <w:sz w:val="18"/>
            <w:szCs w:val="18"/>
            <w:color w:val="000000"/>
          </w:rPr>
          <w:t>(Item 5.07 only) (in each case other than information “furnished” under Items 2.02 or 7.01, and</w:t>
        </w:r>
      </w:hyperlink>
      <w:r>
        <w:rPr>
          <w:rFonts w:ascii="Arial" w:cs="Arial" w:eastAsia="Arial" w:hAnsi="Arial"/>
          <w:sz w:val="18"/>
          <w:szCs w:val="18"/>
          <w:color w:val="0000EE"/>
        </w:rPr>
        <w:t xml:space="preserve"> </w:t>
      </w:r>
      <w:r>
        <w:rPr>
          <w:rFonts w:ascii="Arial" w:cs="Arial" w:eastAsia="Arial" w:hAnsi="Arial"/>
          <w:sz w:val="18"/>
          <w:szCs w:val="18"/>
          <w:color w:val="000000"/>
        </w:rPr>
        <w:t>corresponding information furnished under Item 9.01 or included as an exhibit); and</w:t>
      </w:r>
    </w:p>
    <w:p>
      <w:pPr>
        <w:spacing w:after="0" w:line="89" w:lineRule="exact"/>
        <w:rPr>
          <w:rFonts w:ascii="Arial" w:cs="Arial" w:eastAsia="Arial" w:hAnsi="Arial"/>
          <w:sz w:val="18"/>
          <w:szCs w:val="18"/>
          <w:color w:val="0000EE"/>
        </w:rPr>
      </w:pPr>
    </w:p>
    <w:p>
      <w:pPr>
        <w:jc w:val="both"/>
        <w:ind w:left="960" w:right="20" w:hanging="532"/>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in </w:t>
      </w:r>
      <w:hyperlink r:id="rId24">
        <w:r>
          <w:rPr>
            <w:rFonts w:ascii="Arial" w:cs="Arial" w:eastAsia="Arial" w:hAnsi="Arial"/>
            <w:sz w:val="18"/>
            <w:szCs w:val="18"/>
            <w:u w:val="single" w:color="auto"/>
            <w:color w:val="0000EE"/>
          </w:rPr>
          <w:t>Item 11 to the Registrant’s Amendment No. 2 to Registration Statement on Form 10</w:t>
        </w:r>
      </w:hyperlink>
      <w:r>
        <w:rPr>
          <w:rFonts w:ascii="Arial" w:cs="Arial" w:eastAsia="Arial" w:hAnsi="Arial"/>
          <w:sz w:val="18"/>
          <w:szCs w:val="18"/>
          <w:color w:val="auto"/>
        </w:rPr>
        <w:t>, filed with the Commission on July 5, 2022 pursuant to Section 12(g) of the Exchange Act, including any amendment or report filed for the purpose of updating such description.</w:t>
      </w:r>
    </w:p>
    <w:p>
      <w:pPr>
        <w:spacing w:after="0" w:line="184" w:lineRule="exact"/>
        <w:rPr>
          <w:rFonts w:ascii="Arial" w:cs="Arial" w:eastAsia="Arial" w:hAnsi="Arial"/>
          <w:sz w:val="18"/>
          <w:szCs w:val="18"/>
          <w:color w:val="0000EE"/>
        </w:rPr>
      </w:pPr>
    </w:p>
    <w:p>
      <w:pPr>
        <w:ind w:firstLine="991"/>
        <w:spacing w:after="0" w:line="272" w:lineRule="auto"/>
        <w:rPr>
          <w:sz w:val="20"/>
          <w:szCs w:val="20"/>
          <w:color w:val="auto"/>
        </w:rPr>
      </w:pPr>
      <w:r>
        <w:rPr>
          <w:rFonts w:ascii="Arial" w:cs="Arial" w:eastAsia="Arial" w:hAnsi="Arial"/>
          <w:sz w:val="17"/>
          <w:szCs w:val="17"/>
          <w:color w:val="auto"/>
        </w:rPr>
        <w:t>All documents, reports and definitive proxy or information statements filed by the Registrant with the Commission on or after the date of this Registration Statement pursuant to Sections 13(a), 13(c), 14 and 15(d) of the Securities Exchange Act of 1934, as amended, except as to any portion of any future annual, quarterly or current report or document of the Registrant that is not deemed filed under such provisions, shall be deemed incorporated by reference in this Registration Statement and to be a part hereof from the date of filing such documents until a post-effective amendment of this Registration Statement is filed which indicates that all securities being offered hereby have been sold or which deregisters all securities then remaining unsold; provided, however, that documents or information deemed to have been furnished and not filed in accordance with the rules of the Commission shall not be deemed incorporated by reference into this Registration Statement.</w:t>
      </w:r>
    </w:p>
    <w:p>
      <w:pPr>
        <w:spacing w:after="0" w:line="177" w:lineRule="exact"/>
        <w:rPr>
          <w:rFonts w:ascii="Arial" w:cs="Arial" w:eastAsia="Arial" w:hAnsi="Arial"/>
          <w:sz w:val="18"/>
          <w:szCs w:val="18"/>
          <w:color w:val="0000EE"/>
        </w:rPr>
      </w:pPr>
    </w:p>
    <w:p>
      <w:pPr>
        <w:jc w:val="both"/>
        <w:ind w:right="80" w:firstLine="991"/>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60"/>
          </w:cols>
          <w:pgMar w:left="440" w:top="270" w:right="499" w:bottom="1440" w:gutter="0" w:footer="0" w:header="0"/>
        </w:sectPr>
      </w:pPr>
    </w:p>
    <w:bookmarkStart w:id="3" w:name="page4"/>
    <w:bookmarkEnd w:id="3"/>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560" w:type="dxa"/>
            <w:vAlign w:val="bottom"/>
            <w:gridSpan w:val="13"/>
            <w:vMerge w:val="restart"/>
          </w:tcPr>
          <w:p>
            <w:pPr>
              <w:ind w:left="82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67"/>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42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6560" w:type="dxa"/>
            <w:vAlign w:val="bottom"/>
            <w:tcBorders>
              <w:bottom w:val="single" w:sz="8" w:color="auto"/>
            </w:tcBorders>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20" w:type="dxa"/>
            <w:vAlign w:val="bottom"/>
          </w:tcPr>
          <w:p>
            <w:pPr>
              <w:jc w:val="center"/>
              <w:spacing w:after="0"/>
              <w:rPr>
                <w:sz w:val="20"/>
                <w:szCs w:val="20"/>
                <w:color w:val="auto"/>
              </w:rPr>
            </w:pPr>
            <w:r>
              <w:rPr>
                <w:rFonts w:ascii="Arial" w:cs="Arial" w:eastAsia="Arial" w:hAnsi="Arial"/>
                <w:sz w:val="18"/>
                <w:szCs w:val="18"/>
                <w:color w:val="auto"/>
                <w:w w:val="88"/>
              </w:rPr>
              <w:t>  4.1</w:t>
            </w:r>
          </w:p>
        </w:tc>
        <w:tc>
          <w:tcPr>
            <w:tcW w:w="420" w:type="dxa"/>
            <w:vAlign w:val="bottom"/>
          </w:tcPr>
          <w:p>
            <w:pPr>
              <w:spacing w:after="0"/>
              <w:rPr>
                <w:sz w:val="22"/>
                <w:szCs w:val="22"/>
                <w:color w:val="auto"/>
              </w:rPr>
            </w:pPr>
          </w:p>
        </w:tc>
        <w:tc>
          <w:tcPr>
            <w:tcW w:w="10180" w:type="dxa"/>
            <w:vAlign w:val="bottom"/>
            <w:gridSpan w:val="15"/>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Amended and Restated Certificate of Incorporation of Life360, Inc. (incorporated by reference to Exhibit 3.1 to the Registrant’s Amendment</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No. 2 to Registration Statement on Form 10 (File No. 000-56424, filed with the Commission on July 5, 2022)</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jc w:val="center"/>
              <w:spacing w:after="0"/>
              <w:rPr>
                <w:sz w:val="20"/>
                <w:szCs w:val="20"/>
                <w:color w:val="auto"/>
              </w:rPr>
            </w:pPr>
            <w:r>
              <w:rPr>
                <w:rFonts w:ascii="Arial" w:cs="Arial" w:eastAsia="Arial" w:hAnsi="Arial"/>
                <w:sz w:val="18"/>
                <w:szCs w:val="18"/>
                <w:color w:val="auto"/>
                <w:w w:val="88"/>
              </w:rPr>
              <w:t>  4.2</w:t>
            </w:r>
          </w:p>
        </w:tc>
        <w:tc>
          <w:tcPr>
            <w:tcW w:w="420" w:type="dxa"/>
            <w:vAlign w:val="bottom"/>
          </w:tcPr>
          <w:p>
            <w:pPr>
              <w:spacing w:after="0"/>
              <w:rPr>
                <w:sz w:val="24"/>
                <w:szCs w:val="24"/>
                <w:color w:val="auto"/>
              </w:rPr>
            </w:pPr>
          </w:p>
        </w:tc>
        <w:tc>
          <w:tcPr>
            <w:tcW w:w="9960" w:type="dxa"/>
            <w:vAlign w:val="bottom"/>
            <w:tcBorders>
              <w:bottom w:val="single" w:sz="8" w:color="0000EE"/>
            </w:tcBorders>
            <w:gridSpan w:val="13"/>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Amended and Restated Bylaws of Life360, Inc. (incorporated by reference to Exhibit 3.2 to the Registrant’s Annual Report on Form 10-K</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7">
              <w:r>
                <w:rPr>
                  <w:rFonts w:ascii="Arial" w:cs="Arial" w:eastAsia="Arial" w:hAnsi="Arial"/>
                  <w:sz w:val="18"/>
                  <w:szCs w:val="18"/>
                  <w:color w:val="0000EE"/>
                  <w:w w:val="92"/>
                </w:rPr>
                <w:t>(File No. 000-56424, filed with the Commission on March 23, 2023)</w:t>
              </w:r>
            </w:hyperlink>
          </w:p>
        </w:tc>
        <w:tc>
          <w:tcPr>
            <w:tcW w:w="52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20" w:type="dxa"/>
            <w:vAlign w:val="bottom"/>
          </w:tcPr>
          <w:p>
            <w:pPr>
              <w:jc w:val="center"/>
              <w:spacing w:after="0"/>
              <w:rPr>
                <w:sz w:val="20"/>
                <w:szCs w:val="20"/>
                <w:color w:val="auto"/>
              </w:rPr>
            </w:pPr>
            <w:r>
              <w:rPr>
                <w:rFonts w:ascii="Arial" w:cs="Arial" w:eastAsia="Arial" w:hAnsi="Arial"/>
                <w:sz w:val="18"/>
                <w:szCs w:val="18"/>
                <w:color w:val="auto"/>
                <w:w w:val="88"/>
              </w:rPr>
              <w:t>  5.1</w:t>
            </w:r>
          </w:p>
        </w:tc>
        <w:tc>
          <w:tcPr>
            <w:tcW w:w="420" w:type="dxa"/>
            <w:vAlign w:val="bottom"/>
          </w:tcPr>
          <w:p>
            <w:pPr>
              <w:spacing w:after="0"/>
              <w:rPr>
                <w:sz w:val="24"/>
                <w:szCs w:val="24"/>
                <w:color w:val="auto"/>
              </w:rPr>
            </w:pPr>
          </w:p>
        </w:tc>
        <w:tc>
          <w:tcPr>
            <w:tcW w:w="18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Opinion of Cooley LLP*</w:t>
            </w:r>
          </w:p>
        </w:tc>
        <w:tc>
          <w:tcPr>
            <w:tcW w:w="83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jc w:val="center"/>
              <w:spacing w:after="0"/>
              <w:rPr>
                <w:sz w:val="20"/>
                <w:szCs w:val="20"/>
                <w:color w:val="auto"/>
              </w:rPr>
            </w:pPr>
            <w:r>
              <w:rPr>
                <w:rFonts w:ascii="Arial" w:cs="Arial" w:eastAsia="Arial" w:hAnsi="Arial"/>
                <w:sz w:val="18"/>
                <w:szCs w:val="18"/>
                <w:color w:val="auto"/>
                <w:w w:val="88"/>
              </w:rPr>
              <w:t> 23.1</w:t>
            </w:r>
          </w:p>
        </w:tc>
        <w:tc>
          <w:tcPr>
            <w:tcW w:w="420" w:type="dxa"/>
            <w:vAlign w:val="bottom"/>
          </w:tcPr>
          <w:p>
            <w:pPr>
              <w:spacing w:after="0"/>
              <w:rPr>
                <w:sz w:val="24"/>
                <w:szCs w:val="24"/>
                <w:color w:val="auto"/>
              </w:rPr>
            </w:pPr>
          </w:p>
        </w:tc>
        <w:tc>
          <w:tcPr>
            <w:tcW w:w="5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Consent of BDO USA, P.C., independent registered public accounting firm*</w:t>
            </w:r>
          </w:p>
        </w:tc>
        <w:tc>
          <w:tcPr>
            <w:tcW w:w="46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jc w:val="center"/>
              <w:spacing w:after="0"/>
              <w:rPr>
                <w:sz w:val="20"/>
                <w:szCs w:val="20"/>
                <w:color w:val="auto"/>
              </w:rPr>
            </w:pPr>
            <w:r>
              <w:rPr>
                <w:rFonts w:ascii="Arial" w:cs="Arial" w:eastAsia="Arial" w:hAnsi="Arial"/>
                <w:sz w:val="18"/>
                <w:szCs w:val="18"/>
                <w:color w:val="auto"/>
                <w:w w:val="88"/>
              </w:rPr>
              <w:t> 23.2</w:t>
            </w:r>
          </w:p>
        </w:tc>
        <w:tc>
          <w:tcPr>
            <w:tcW w:w="4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0000EE"/>
              </w:rPr>
              <w:t>Consent of Cooley LLP (included in Exhibit 5.1)*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jc w:val="center"/>
              <w:spacing w:after="0"/>
              <w:rPr>
                <w:sz w:val="20"/>
                <w:szCs w:val="20"/>
                <w:color w:val="auto"/>
              </w:rPr>
            </w:pPr>
            <w:r>
              <w:rPr>
                <w:rFonts w:ascii="Arial" w:cs="Arial" w:eastAsia="Arial" w:hAnsi="Arial"/>
                <w:sz w:val="18"/>
                <w:szCs w:val="18"/>
                <w:color w:val="auto"/>
                <w:w w:val="88"/>
              </w:rPr>
              <w:t> 24.1</w:t>
            </w:r>
          </w:p>
        </w:tc>
        <w:tc>
          <w:tcPr>
            <w:tcW w:w="420" w:type="dxa"/>
            <w:vAlign w:val="bottom"/>
          </w:tcPr>
          <w:p>
            <w:pPr>
              <w:spacing w:after="0"/>
              <w:rPr>
                <w:sz w:val="24"/>
                <w:szCs w:val="24"/>
                <w:color w:val="auto"/>
              </w:rPr>
            </w:pPr>
          </w:p>
        </w:tc>
        <w:tc>
          <w:tcPr>
            <w:tcW w:w="59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Power of Attorney (included in the signature page to this Registration Statement)*</w:t>
            </w:r>
          </w:p>
        </w:tc>
        <w:tc>
          <w:tcPr>
            <w:tcW w:w="4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jc w:val="center"/>
              <w:spacing w:after="0"/>
              <w:rPr>
                <w:sz w:val="20"/>
                <w:szCs w:val="20"/>
                <w:color w:val="auto"/>
              </w:rPr>
            </w:pPr>
            <w:r>
              <w:rPr>
                <w:rFonts w:ascii="Arial" w:cs="Arial" w:eastAsia="Arial" w:hAnsi="Arial"/>
                <w:sz w:val="18"/>
                <w:szCs w:val="18"/>
                <w:color w:val="auto"/>
                <w:w w:val="88"/>
              </w:rPr>
              <w:t> 99.1</w:t>
            </w:r>
          </w:p>
        </w:tc>
        <w:tc>
          <w:tcPr>
            <w:tcW w:w="420" w:type="dxa"/>
            <w:vAlign w:val="bottom"/>
          </w:tcPr>
          <w:p>
            <w:pPr>
              <w:spacing w:after="0"/>
              <w:rPr>
                <w:sz w:val="24"/>
                <w:szCs w:val="24"/>
                <w:color w:val="auto"/>
              </w:rPr>
            </w:pPr>
          </w:p>
        </w:tc>
        <w:tc>
          <w:tcPr>
            <w:tcW w:w="9860" w:type="dxa"/>
            <w:vAlign w:val="bottom"/>
            <w:tcBorders>
              <w:bottom w:val="single" w:sz="8" w:color="0000EE"/>
            </w:tcBorders>
            <w:gridSpan w:val="12"/>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Amended and Restated 2011 Stock Plan (incorporated by reference to Exhibit 10.2 to the Registrant’s Amendment No. 2 to Registration</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Statement on Form 10 (File No. 000-56424, filed with the Commission on July 5, 2022)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40" w:type="dxa"/>
            <w:vAlign w:val="bottom"/>
            <w:gridSpan w:val="6"/>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jc w:val="center"/>
              <w:spacing w:after="0"/>
              <w:rPr>
                <w:sz w:val="20"/>
                <w:szCs w:val="20"/>
                <w:color w:val="auto"/>
              </w:rPr>
            </w:pPr>
            <w:r>
              <w:rPr>
                <w:rFonts w:ascii="Arial" w:cs="Arial" w:eastAsia="Arial" w:hAnsi="Arial"/>
                <w:sz w:val="18"/>
                <w:szCs w:val="18"/>
                <w:color w:val="auto"/>
                <w:w w:val="88"/>
              </w:rPr>
              <w:t> 99.2</w:t>
            </w:r>
          </w:p>
        </w:tc>
        <w:tc>
          <w:tcPr>
            <w:tcW w:w="42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7"/>
              </w:rPr>
            </w:pPr>
            <w:hyperlink r:id="rId29">
              <w:r>
                <w:rPr>
                  <w:rFonts w:ascii="Arial" w:cs="Arial" w:eastAsia="Arial" w:hAnsi="Arial"/>
                  <w:sz w:val="18"/>
                  <w:szCs w:val="18"/>
                  <w:color w:val="0000EE"/>
                  <w:w w:val="97"/>
                </w:rPr>
                <w:t>Form of Amended and Restated 2011 Stock Plan Restricted Stock Unit Agreement (incorporated by reference to Exhibit 10.3 to the</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40" w:type="dxa"/>
            <w:vAlign w:val="bottom"/>
            <w:gridSpan w:val="8"/>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w w:val="95"/>
              </w:rPr>
            </w:pPr>
            <w:hyperlink r:id="rId29">
              <w:r>
                <w:rPr>
                  <w:rFonts w:ascii="Arial" w:cs="Arial" w:eastAsia="Arial" w:hAnsi="Arial"/>
                  <w:sz w:val="18"/>
                  <w:szCs w:val="18"/>
                  <w:color w:val="0000EE"/>
                  <w:w w:val="95"/>
                </w:rPr>
                <w:t>Registrant’s Amendment No. 2 to Registration Statement on Form 10 (File No. 000-56424, filed with the Commission on July 5, 2022)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40" w:type="dxa"/>
            <w:vAlign w:val="bottom"/>
            <w:gridSpan w:val="8"/>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jc w:val="center"/>
              <w:spacing w:after="0"/>
              <w:rPr>
                <w:sz w:val="20"/>
                <w:szCs w:val="20"/>
                <w:color w:val="auto"/>
              </w:rPr>
            </w:pPr>
            <w:r>
              <w:rPr>
                <w:rFonts w:ascii="Arial" w:cs="Arial" w:eastAsia="Arial" w:hAnsi="Arial"/>
                <w:sz w:val="18"/>
                <w:szCs w:val="18"/>
                <w:color w:val="auto"/>
                <w:w w:val="88"/>
              </w:rPr>
              <w:t> 99.3</w:t>
            </w:r>
          </w:p>
        </w:tc>
        <w:tc>
          <w:tcPr>
            <w:tcW w:w="42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Form of Amended and Restated 2011 Stock Plan Stock Option Agreement (incorporated by reference to Exhibit 10.4 to the Registrant’s</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Amendment No. 2 to Registration Statement on Form 10 (File No. 000-56424, filed with the Commission on July 5, 2022)</w:t>
              </w:r>
            </w:hyperlink>
          </w:p>
        </w:tc>
        <w:tc>
          <w:tcPr>
            <w:tcW w:w="1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44" w:hanging="844"/>
        <w:spacing w:after="0"/>
        <w:tabs>
          <w:tab w:leader="none" w:pos="84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19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94"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Mateo, State of California, on this 27</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of September, 2023.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LIFE360,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Chris Hulls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Chris Hulls and Russell Burke, and each or any of them, such individual’s true and lawful attorneys-in-fact and agents with full power of substitution and resubstitution, for such individual and in such individual’s name, place and stead, in any and all capacities, to sign any and all amendments (including post-effective amendments) to this Registration Statement, and to file the same, with all exhibits thereto and all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such individual might or could do in person, hereby ratifying and confirming all that said attorneys-in-fact and agents, or any of them or their substitute or substitutes, may lawfully do or cause to be done by virtue hereof. This Power of Attorney may be signed in one or more counterparts, each of which shall be an original, with the same effect as if the signatures thereto and hereto were upon the same instrument.</w:t>
      </w:r>
    </w:p>
    <w:p>
      <w:pPr>
        <w:sectPr>
          <w:pgSz w:w="11900" w:h="16838" w:orient="portrait"/>
          <w:cols w:equalWidth="0" w:num="1">
            <w:col w:w="10980"/>
          </w:cols>
          <w:pgMar w:left="440" w:top="270" w:right="479" w:bottom="1440" w:gutter="0" w:footer="0" w:header="0"/>
        </w:sectPr>
      </w:pPr>
    </w:p>
    <w:bookmarkStart w:id="5" w:name="page6"/>
    <w:bookmarkEnd w:id="5"/>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Chris Hulls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Chris Hulls</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Russell Burke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Russell Burke</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Charles (CJ) Prober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Charles (CJ) Prober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Philip Coghlan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John Philip Coghlan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Goines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Mark Goines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Alex Haro</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Alex Haro</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Brit Morin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rPr>
              <w:t>Brit Morin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James Synge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6"/>
              </w:rPr>
              <w:t>James Synge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Wiadrowski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David Wiadrowski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Randi Zuckerberg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September 27,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Randi Zuckerberg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4"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20015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001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Natalie Y. Karam</w:t>
      </w:r>
    </w:p>
    <w:p>
      <w:pPr>
        <w:spacing w:after="0" w:line="23" w:lineRule="exact"/>
        <w:rPr>
          <w:sz w:val="20"/>
          <w:szCs w:val="20"/>
          <w:color w:val="auto"/>
        </w:rPr>
      </w:pPr>
    </w:p>
    <w:p>
      <w:pPr>
        <w:ind w:left="4" w:right="9500" w:hanging="4"/>
        <w:spacing w:after="0" w:line="323"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+1 650 843 5778 nkaram@cooley.com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27,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Life360,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1900 South Norfolk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Suite 310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Mateo, CA 94403</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Re: Registration on Form S-8</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We have acted as counsel to Life360,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w:t>
      </w:r>
    </w:p>
    <w:p>
      <w:pPr>
        <w:spacing w:after="0" w:line="35" w:lineRule="exact"/>
        <w:rPr>
          <w:sz w:val="20"/>
          <w:szCs w:val="20"/>
          <w:color w:val="auto"/>
        </w:rPr>
      </w:pPr>
    </w:p>
    <w:p>
      <w:pPr>
        <w:jc w:val="both"/>
        <w:ind w:left="4" w:right="180"/>
        <w:spacing w:after="0" w:line="255" w:lineRule="auto"/>
        <w:rPr>
          <w:sz w:val="20"/>
          <w:szCs w:val="20"/>
          <w:color w:val="auto"/>
        </w:rPr>
      </w:pPr>
      <w:r>
        <w:rPr>
          <w:rFonts w:ascii="Arial" w:cs="Arial" w:eastAsia="Arial" w:hAnsi="Arial"/>
          <w:sz w:val="18"/>
          <w:szCs w:val="18"/>
          <w:color w:val="auto"/>
        </w:rPr>
        <w:t>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the offering of up to 4,435,130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par value $0.001 per share, issuable pursuant to the Life360, Inc. Amended and Restated 2011 Stock Plan (the “</w:t>
      </w:r>
      <w:r>
        <w:rPr>
          <w:rFonts w:ascii="Arial" w:cs="Arial" w:eastAsia="Arial" w:hAnsi="Arial"/>
          <w:sz w:val="18"/>
          <w:szCs w:val="18"/>
          <w:b w:val="1"/>
          <w:bCs w:val="1"/>
          <w:i w:val="1"/>
          <w:iCs w:val="1"/>
          <w:color w:val="auto"/>
        </w:rPr>
        <w:t>Stock Plan</w:t>
      </w:r>
      <w:r>
        <w:rPr>
          <w:rFonts w:ascii="Arial" w:cs="Arial" w:eastAsia="Arial" w:hAnsi="Arial"/>
          <w:sz w:val="18"/>
          <w:szCs w:val="18"/>
          <w:color w:val="auto"/>
        </w:rPr>
        <w:t>”).</w:t>
      </w:r>
    </w:p>
    <w:p>
      <w:pPr>
        <w:spacing w:after="0" w:line="190"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In connection with this opinion, we have examined and relied upon (a) the Registration Statement and related prospectus, (b) the Company’s certificate of incorporation and bylaws, each as currently in effect, (c) the Stock Plan, and (d)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66"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Stock Plan, the Registration Statement and related prospectus, will be validly issued, fully paid, and nonassessable (except as to shares issued pursuant to deferred payment arrangements, which will be fully paid and nonassessable when such deferred payments are made in full).</w:t>
      </w:r>
    </w:p>
    <w:p>
      <w:pPr>
        <w:spacing w:after="0" w:line="16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Cooley LLP 1333 2nd Street, Suite 400, Santa Monica, CA 90401</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 (310) 883-6400 f: (310) 883-6500 cooley.com</w:t>
      </w:r>
    </w:p>
    <w:p>
      <w:pPr>
        <w:sectPr>
          <w:pgSz w:w="11900" w:h="16838" w:orient="portrait"/>
          <w:cols w:equalWidth="0" w:num="1">
            <w:col w:w="11024"/>
          </w:cols>
          <w:pgMar w:left="436" w:top="12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0015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45770"/>
                    </a:xfrm>
                    <a:prstGeom prst="rect">
                      <a:avLst/>
                    </a:prstGeom>
                    <a:noFill/>
                  </pic:spPr>
                </pic:pic>
              </a:graphicData>
            </a:graphic>
          </wp:anchor>
        </w:drawing>
        <w:t>Life360,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OOLEY</w:t>
      </w:r>
      <w:r>
        <w:rPr>
          <w:rFonts w:ascii="Arial" w:cs="Arial" w:eastAsia="Arial" w:hAnsi="Arial"/>
          <w:sz w:val="18"/>
          <w:szCs w:val="18"/>
          <w:b w:val="1"/>
          <w:bCs w:val="1"/>
          <w:color w:val="auto"/>
        </w:rPr>
        <w:t xml:space="preserve"> LLP</w:t>
      </w:r>
    </w:p>
    <w:p>
      <w:pPr>
        <w:spacing w:after="0" w:line="256" w:lineRule="exact"/>
        <w:rPr>
          <w:sz w:val="20"/>
          <w:szCs w:val="20"/>
          <w:color w:val="auto"/>
        </w:rPr>
      </w:pPr>
    </w:p>
    <w:p>
      <w:pPr>
        <w:jc w:val="right"/>
        <w:ind w:right="9180"/>
        <w:spacing w:after="0"/>
        <w:rPr>
          <w:sz w:val="20"/>
          <w:szCs w:val="20"/>
          <w:color w:val="auto"/>
        </w:rPr>
      </w:pPr>
      <w:r>
        <w:rPr>
          <w:rFonts w:ascii="Arial" w:cs="Arial" w:eastAsia="Arial" w:hAnsi="Arial"/>
          <w:sz w:val="17"/>
          <w:szCs w:val="17"/>
          <w:color w:val="auto"/>
        </w:rPr>
        <w:t>By: /s/ Natalie Y.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22225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8" w:lineRule="exact"/>
        <w:rPr>
          <w:sz w:val="20"/>
          <w:szCs w:val="20"/>
          <w:color w:val="auto"/>
        </w:rPr>
      </w:pPr>
    </w:p>
    <w:p>
      <w:pPr>
        <w:jc w:val="right"/>
        <w:ind w:right="9180"/>
        <w:spacing w:after="0"/>
        <w:rPr>
          <w:sz w:val="20"/>
          <w:szCs w:val="20"/>
          <w:color w:val="auto"/>
        </w:rPr>
      </w:pPr>
      <w:r>
        <w:rPr>
          <w:rFonts w:ascii="Arial" w:cs="Arial" w:eastAsia="Arial" w:hAnsi="Arial"/>
          <w:sz w:val="18"/>
          <w:szCs w:val="18"/>
          <w:color w:val="auto"/>
        </w:rPr>
        <w:t>   Natalie Y. Karam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LLP 1333 2nd Street, Suite 400, Santa Monica, CA 90401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(310) 883-6400 f: (310) 883-6500 cooley.com</w:t>
      </w:r>
    </w:p>
    <w:p>
      <w:pPr>
        <w:sectPr>
          <w:pgSz w:w="11900" w:h="16838" w:orient="portrait"/>
          <w:cols w:equalWidth="0" w:num="1">
            <w:col w:w="11000"/>
          </w:cols>
          <w:pgMar w:left="440" w:top="1192" w:right="459" w:bottom="1440" w:gutter="0" w:footer="0" w:header="0"/>
        </w:sectPr>
      </w:pPr>
    </w:p>
    <w:bookmarkStart w:id="8" w:name="page9"/>
    <w:bookmarkEnd w:id="8"/>
    <w:tbl>
      <w:tblPr>
        <w:tblLayout w:type="fixed"/>
        <w:tblInd w:w="386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Exhibit 23.1</w:t>
            </w:r>
          </w:p>
        </w:tc>
      </w:tr>
      <w:tr>
        <w:trPr>
          <w:trHeight w:val="436"/>
        </w:trPr>
        <w:tc>
          <w:tcPr>
            <w:tcW w:w="3780" w:type="dxa"/>
            <w:vAlign w:val="bottom"/>
          </w:tcPr>
          <w:p>
            <w:pPr>
              <w:spacing w:after="0"/>
              <w:rPr>
                <w:sz w:val="20"/>
                <w:szCs w:val="20"/>
                <w:color w:val="auto"/>
              </w:rPr>
            </w:pPr>
            <w:r>
              <w:rPr>
                <w:rFonts w:ascii="Arial" w:cs="Arial" w:eastAsia="Arial" w:hAnsi="Arial"/>
                <w:sz w:val="16"/>
                <w:szCs w:val="16"/>
                <w:color w:val="auto"/>
              </w:rPr>
              <w:t>      Tel: 415-397-7900</w:t>
            </w:r>
          </w:p>
        </w:tc>
        <w:tc>
          <w:tcPr>
            <w:tcW w:w="3380" w:type="dxa"/>
            <w:vAlign w:val="bottom"/>
          </w:tcPr>
          <w:p>
            <w:pPr>
              <w:jc w:val="right"/>
              <w:spacing w:after="0"/>
              <w:rPr>
                <w:sz w:val="20"/>
                <w:szCs w:val="20"/>
                <w:color w:val="auto"/>
              </w:rPr>
            </w:pPr>
            <w:r>
              <w:rPr>
                <w:rFonts w:ascii="Arial" w:cs="Arial" w:eastAsia="Arial" w:hAnsi="Arial"/>
                <w:sz w:val="16"/>
                <w:szCs w:val="16"/>
                <w:color w:val="auto"/>
              </w:rPr>
              <w:t>One Bush Street Suite 1800</w:t>
            </w: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      Fax: 415-397-2161</w:t>
            </w:r>
          </w:p>
        </w:tc>
        <w:tc>
          <w:tcPr>
            <w:tcW w:w="3380" w:type="dxa"/>
            <w:vAlign w:val="bottom"/>
          </w:tcPr>
          <w:p>
            <w:pPr>
              <w:jc w:val="right"/>
              <w:spacing w:after="0"/>
              <w:rPr>
                <w:sz w:val="20"/>
                <w:szCs w:val="20"/>
                <w:color w:val="auto"/>
              </w:rPr>
            </w:pPr>
            <w:r>
              <w:rPr>
                <w:rFonts w:ascii="Arial" w:cs="Arial" w:eastAsia="Arial" w:hAnsi="Arial"/>
                <w:sz w:val="16"/>
                <w:szCs w:val="16"/>
                <w:color w:val="auto"/>
              </w:rPr>
              <w:t>San Francisco, CA 94104  </w:t>
            </w: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      www.bdo.com</w:t>
            </w:r>
          </w:p>
        </w:tc>
        <w:tc>
          <w:tcPr>
            <w:tcW w:w="33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1114425"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14425" cy="48895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Life360,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hereby consent to the incorporation by reference in this Registration Statement on Form S-8 of our report dated March 23, 2023, relating to the consolidated financial statements of Life360, Inc. appearing in the Company’s Annual Report on Form 10-K for the year ended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2023</w:t>
      </w:r>
    </w:p>
    <w:p>
      <w:pPr>
        <w:spacing w:after="0" w:line="355"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BDO USA, P.C., a Virginia professional service corporation, is the U.S. member of BDO International Limited, a UK company limited by guarantee, and forms part of the international BDO network of independent member firms.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BDO is the brand name for the BDO network and for each of the BDO Member Firms.</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Form S-8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Life360,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 Newly Registered Securities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130"/>
        </w:trPr>
        <w:tc>
          <w:tcPr>
            <w:tcW w:w="1520" w:type="dxa"/>
            <w:vAlign w:val="bottom"/>
            <w:tcBorders>
              <w:top w:val="single" w:sz="8" w:color="auto"/>
              <w:left w:val="single" w:sz="8" w:color="auto"/>
              <w:right w:val="single" w:sz="8" w:color="auto"/>
            </w:tcBorders>
          </w:tcPr>
          <w:p>
            <w:pPr>
              <w:spacing w:after="0"/>
              <w:rPr>
                <w:sz w:val="11"/>
                <w:szCs w:val="11"/>
                <w:color w:val="auto"/>
              </w:rPr>
            </w:pPr>
          </w:p>
        </w:tc>
        <w:tc>
          <w:tcPr>
            <w:tcW w:w="382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104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jc w:val="center"/>
              <w:ind w:left="4"/>
              <w:spacing w:after="0" w:line="131" w:lineRule="exact"/>
              <w:rPr>
                <w:sz w:val="20"/>
                <w:szCs w:val="20"/>
                <w:color w:val="auto"/>
              </w:rPr>
            </w:pPr>
            <w:r>
              <w:rPr>
                <w:rFonts w:ascii="Arial" w:cs="Arial" w:eastAsia="Arial" w:hAnsi="Arial"/>
                <w:sz w:val="13"/>
                <w:szCs w:val="13"/>
                <w:b w:val="1"/>
                <w:bCs w:val="1"/>
                <w:color w:val="auto"/>
                <w:w w:val="83"/>
              </w:rPr>
              <w:t>Proposed</w:t>
            </w:r>
          </w:p>
        </w:tc>
        <w:tc>
          <w:tcPr>
            <w:tcW w:w="128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38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280" w:type="dxa"/>
            <w:vAlign w:val="bottom"/>
            <w:tcBorders>
              <w:right w:val="single" w:sz="8" w:color="auto"/>
            </w:tcBorders>
          </w:tcPr>
          <w:p>
            <w:pPr>
              <w:jc w:val="center"/>
              <w:ind w:left="2"/>
              <w:spacing w:after="0" w:line="135" w:lineRule="exact"/>
              <w:rPr>
                <w:sz w:val="20"/>
                <w:szCs w:val="20"/>
                <w:color w:val="auto"/>
              </w:rPr>
            </w:pPr>
            <w:r>
              <w:rPr>
                <w:rFonts w:ascii="Arial" w:cs="Arial" w:eastAsia="Arial" w:hAnsi="Arial"/>
                <w:sz w:val="13"/>
                <w:szCs w:val="13"/>
                <w:b w:val="1"/>
                <w:bCs w:val="1"/>
                <w:color w:val="auto"/>
                <w:w w:val="93"/>
              </w:rPr>
              <w:t>Maximum</w:t>
            </w:r>
          </w:p>
        </w:tc>
        <w:tc>
          <w:tcPr>
            <w:tcW w:w="8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3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10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ind w:left="4"/>
              <w:spacing w:after="0" w:line="135" w:lineRule="exact"/>
              <w:rPr>
                <w:sz w:val="20"/>
                <w:szCs w:val="20"/>
                <w:color w:val="auto"/>
              </w:rPr>
            </w:pPr>
            <w:r>
              <w:rPr>
                <w:rFonts w:ascii="Arial" w:cs="Arial" w:eastAsia="Arial" w:hAnsi="Arial"/>
                <w:sz w:val="13"/>
                <w:szCs w:val="13"/>
                <w:b w:val="1"/>
                <w:bCs w:val="1"/>
                <w:color w:val="auto"/>
                <w:w w:val="90"/>
              </w:rPr>
              <w:t>Offering</w:t>
            </w:r>
          </w:p>
        </w:tc>
        <w:tc>
          <w:tcPr>
            <w:tcW w:w="1280" w:type="dxa"/>
            <w:vAlign w:val="bottom"/>
            <w:tcBorders>
              <w:right w:val="single" w:sz="8" w:color="auto"/>
            </w:tcBorders>
          </w:tcPr>
          <w:p>
            <w:pPr>
              <w:jc w:val="center"/>
              <w:ind w:left="2"/>
              <w:spacing w:after="0" w:line="135" w:lineRule="exact"/>
              <w:rPr>
                <w:sz w:val="20"/>
                <w:szCs w:val="20"/>
                <w:color w:val="auto"/>
              </w:rPr>
            </w:pPr>
            <w:r>
              <w:rPr>
                <w:rFonts w:ascii="Arial" w:cs="Arial" w:eastAsia="Arial" w:hAnsi="Arial"/>
                <w:sz w:val="13"/>
                <w:szCs w:val="13"/>
                <w:b w:val="1"/>
                <w:bCs w:val="1"/>
                <w:color w:val="auto"/>
                <w:w w:val="87"/>
              </w:rPr>
              <w:t>Aggregate</w:t>
            </w:r>
          </w:p>
        </w:tc>
        <w:tc>
          <w:tcPr>
            <w:tcW w:w="8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Amount of</w:t>
            </w: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3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Class</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040" w:type="dxa"/>
            <w:vAlign w:val="bottom"/>
            <w:tcBorders>
              <w:right w:val="single" w:sz="8" w:color="auto"/>
            </w:tcBorders>
          </w:tcPr>
          <w:p>
            <w:pPr>
              <w:jc w:val="center"/>
              <w:ind w:left="8"/>
              <w:spacing w:after="0" w:line="135" w:lineRule="exact"/>
              <w:rPr>
                <w:sz w:val="20"/>
                <w:szCs w:val="20"/>
                <w:color w:val="auto"/>
              </w:rPr>
            </w:pPr>
            <w:r>
              <w:rPr>
                <w:rFonts w:ascii="Arial" w:cs="Arial" w:eastAsia="Arial" w:hAnsi="Arial"/>
                <w:sz w:val="13"/>
                <w:szCs w:val="13"/>
                <w:b w:val="1"/>
                <w:bCs w:val="1"/>
                <w:color w:val="auto"/>
                <w:w w:val="89"/>
              </w:rPr>
              <w:t>Amount</w:t>
            </w:r>
          </w:p>
        </w:tc>
        <w:tc>
          <w:tcPr>
            <w:tcW w:w="700" w:type="dxa"/>
            <w:vAlign w:val="bottom"/>
            <w:tcBorders>
              <w:right w:val="single" w:sz="8" w:color="auto"/>
            </w:tcBorders>
          </w:tcPr>
          <w:p>
            <w:pPr>
              <w:jc w:val="center"/>
              <w:ind w:left="4"/>
              <w:spacing w:after="0" w:line="135" w:lineRule="exact"/>
              <w:rPr>
                <w:sz w:val="20"/>
                <w:szCs w:val="20"/>
                <w:color w:val="auto"/>
              </w:rPr>
            </w:pPr>
            <w:r>
              <w:rPr>
                <w:rFonts w:ascii="Arial" w:cs="Arial" w:eastAsia="Arial" w:hAnsi="Arial"/>
                <w:sz w:val="13"/>
                <w:szCs w:val="13"/>
                <w:b w:val="1"/>
                <w:bCs w:val="1"/>
                <w:color w:val="auto"/>
                <w:w w:val="88"/>
              </w:rPr>
              <w:t>Price Per</w:t>
            </w:r>
          </w:p>
        </w:tc>
        <w:tc>
          <w:tcPr>
            <w:tcW w:w="1280" w:type="dxa"/>
            <w:vAlign w:val="bottom"/>
            <w:tcBorders>
              <w:right w:val="single" w:sz="8" w:color="auto"/>
            </w:tcBorders>
          </w:tcPr>
          <w:p>
            <w:pPr>
              <w:jc w:val="center"/>
              <w:ind w:left="22"/>
              <w:spacing w:after="0" w:line="135" w:lineRule="exact"/>
              <w:rPr>
                <w:sz w:val="20"/>
                <w:szCs w:val="20"/>
                <w:color w:val="auto"/>
              </w:rPr>
            </w:pPr>
            <w:r>
              <w:rPr>
                <w:rFonts w:ascii="Arial" w:cs="Arial" w:eastAsia="Arial" w:hAnsi="Arial"/>
                <w:sz w:val="13"/>
                <w:szCs w:val="13"/>
                <w:b w:val="1"/>
                <w:bCs w:val="1"/>
                <w:color w:val="auto"/>
                <w:w w:val="90"/>
              </w:rPr>
              <w:t>Offering</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r>
      <w:tr>
        <w:trPr>
          <w:trHeight w:val="167"/>
        </w:trPr>
        <w:tc>
          <w:tcPr>
            <w:tcW w:w="152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Arial" w:cs="Arial" w:eastAsia="Arial" w:hAnsi="Arial"/>
                <w:sz w:val="13"/>
                <w:szCs w:val="13"/>
                <w:b w:val="1"/>
                <w:bCs w:val="1"/>
                <w:color w:val="auto"/>
                <w:w w:val="86"/>
              </w:rPr>
              <w:t>Security Type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w:t>
            </w:r>
          </w:p>
        </w:tc>
        <w:tc>
          <w:tcPr>
            <w:tcW w:w="760" w:type="dxa"/>
            <w:vAlign w:val="bottom"/>
            <w:tcBorders>
              <w:bottom w:val="single" w:sz="8" w:color="auto"/>
              <w:right w:val="single" w:sz="8" w:color="auto"/>
            </w:tcBorders>
          </w:tcPr>
          <w:p>
            <w:pPr>
              <w:jc w:val="center"/>
              <w:ind w:left="10"/>
              <w:spacing w:after="0" w:line="167" w:lineRule="exact"/>
              <w:rPr>
                <w:sz w:val="20"/>
                <w:szCs w:val="20"/>
                <w:color w:val="auto"/>
              </w:rPr>
            </w:pPr>
            <w:r>
              <w:rPr>
                <w:rFonts w:ascii="Arial" w:cs="Arial" w:eastAsia="Arial" w:hAnsi="Arial"/>
                <w:sz w:val="13"/>
                <w:szCs w:val="13"/>
                <w:b w:val="1"/>
                <w:bCs w:val="1"/>
                <w:color w:val="auto"/>
                <w:w w:val="83"/>
              </w:rPr>
              <w:t>Rule</w:t>
            </w:r>
            <w:r>
              <w:rPr>
                <w:rFonts w:ascii="Arial" w:cs="Arial" w:eastAsia="Arial" w:hAnsi="Arial"/>
                <w:sz w:val="18"/>
                <w:szCs w:val="18"/>
                <w:b w:val="1"/>
                <w:bCs w:val="1"/>
                <w:color w:val="auto"/>
                <w:w w:val="83"/>
                <w:vertAlign w:val="superscript"/>
              </w:rPr>
              <w:t>(2)</w:t>
            </w:r>
          </w:p>
        </w:tc>
        <w:tc>
          <w:tcPr>
            <w:tcW w:w="1040" w:type="dxa"/>
            <w:vAlign w:val="bottom"/>
            <w:tcBorders>
              <w:bottom w:val="single" w:sz="8" w:color="auto"/>
              <w:right w:val="single" w:sz="8" w:color="auto"/>
            </w:tcBorders>
          </w:tcPr>
          <w:p>
            <w:pPr>
              <w:jc w:val="center"/>
              <w:ind w:left="8"/>
              <w:spacing w:after="0" w:line="167" w:lineRule="exact"/>
              <w:rPr>
                <w:sz w:val="20"/>
                <w:szCs w:val="20"/>
                <w:color w:val="auto"/>
              </w:rPr>
            </w:pPr>
            <w:r>
              <w:rPr>
                <w:rFonts w:ascii="Arial" w:cs="Arial" w:eastAsia="Arial" w:hAnsi="Arial"/>
                <w:sz w:val="13"/>
                <w:szCs w:val="13"/>
                <w:b w:val="1"/>
                <w:bCs w:val="1"/>
                <w:color w:val="auto"/>
                <w:w w:val="83"/>
              </w:rPr>
              <w:t>Registered</w:t>
            </w:r>
            <w:r>
              <w:rPr>
                <w:rFonts w:ascii="Arial" w:cs="Arial" w:eastAsia="Arial" w:hAnsi="Arial"/>
                <w:sz w:val="18"/>
                <w:szCs w:val="18"/>
                <w:b w:val="1"/>
                <w:bCs w:val="1"/>
                <w:color w:val="auto"/>
                <w:w w:val="83"/>
                <w:vertAlign w:val="superscript"/>
              </w:rPr>
              <w:t>(1)</w:t>
            </w:r>
          </w:p>
        </w:tc>
        <w:tc>
          <w:tcPr>
            <w:tcW w:w="700" w:type="dxa"/>
            <w:vAlign w:val="bottom"/>
            <w:tcBorders>
              <w:bottom w:val="single" w:sz="8" w:color="auto"/>
              <w:right w:val="single" w:sz="8" w:color="auto"/>
            </w:tcBorders>
          </w:tcPr>
          <w:p>
            <w:pPr>
              <w:jc w:val="center"/>
              <w:ind w:left="4"/>
              <w:spacing w:after="0" w:line="167" w:lineRule="exact"/>
              <w:rPr>
                <w:sz w:val="20"/>
                <w:szCs w:val="20"/>
                <w:color w:val="auto"/>
              </w:rPr>
            </w:pPr>
            <w:r>
              <w:rPr>
                <w:rFonts w:ascii="Arial" w:cs="Arial" w:eastAsia="Arial" w:hAnsi="Arial"/>
                <w:sz w:val="13"/>
                <w:szCs w:val="13"/>
                <w:b w:val="1"/>
                <w:bCs w:val="1"/>
                <w:color w:val="auto"/>
                <w:w w:val="85"/>
              </w:rPr>
              <w:t>Unit</w:t>
            </w:r>
            <w:r>
              <w:rPr>
                <w:rFonts w:ascii="Arial" w:cs="Arial" w:eastAsia="Arial" w:hAnsi="Arial"/>
                <w:sz w:val="18"/>
                <w:szCs w:val="18"/>
                <w:b w:val="1"/>
                <w:bCs w:val="1"/>
                <w:color w:val="auto"/>
                <w:w w:val="85"/>
                <w:vertAlign w:val="superscript"/>
              </w:rPr>
              <w:t>(2)</w:t>
            </w:r>
          </w:p>
        </w:tc>
        <w:tc>
          <w:tcPr>
            <w:tcW w:w="12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3"/>
                <w:szCs w:val="13"/>
                <w:b w:val="1"/>
                <w:bCs w:val="1"/>
                <w:color w:val="auto"/>
                <w:w w:val="87"/>
              </w:rPr>
              <w:t>Price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Fee</w:t>
            </w:r>
          </w:p>
        </w:tc>
      </w:tr>
      <w:tr>
        <w:trPr>
          <w:trHeight w:val="195"/>
        </w:trPr>
        <w:tc>
          <w:tcPr>
            <w:tcW w:w="1520" w:type="dxa"/>
            <w:vAlign w:val="bottom"/>
            <w:tcBorders>
              <w:left w:val="single" w:sz="8" w:color="auto"/>
              <w:right w:val="single" w:sz="8" w:color="auto"/>
            </w:tcBorders>
          </w:tcPr>
          <w:p>
            <w:pPr>
              <w:jc w:val="center"/>
              <w:ind w:left="44"/>
              <w:spacing w:after="0" w:line="195" w:lineRule="exact"/>
              <w:rPr>
                <w:sz w:val="20"/>
                <w:szCs w:val="20"/>
                <w:color w:val="auto"/>
              </w:rPr>
            </w:pPr>
            <w:r>
              <w:rPr>
                <w:rFonts w:ascii="Arial" w:cs="Arial" w:eastAsia="Arial" w:hAnsi="Arial"/>
                <w:sz w:val="18"/>
                <w:szCs w:val="18"/>
                <w:color w:val="auto"/>
                <w:w w:val="95"/>
              </w:rPr>
              <w:t>Equity</w:t>
            </w:r>
          </w:p>
        </w:tc>
        <w:tc>
          <w:tcPr>
            <w:tcW w:w="3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Life360, Inc. 2011 Stock Plan</w:t>
            </w:r>
          </w:p>
        </w:tc>
        <w:tc>
          <w:tcPr>
            <w:tcW w:w="7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44"/>
        </w:trPr>
        <w:tc>
          <w:tcPr>
            <w:tcW w:w="1520" w:type="dxa"/>
            <w:vAlign w:val="bottom"/>
            <w:tcBorders>
              <w:left w:val="single" w:sz="8" w:color="auto"/>
              <w:bottom w:val="single" w:sz="8" w:color="auto"/>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1040" w:type="dxa"/>
            <w:vAlign w:val="bottom"/>
            <w:tcBorders>
              <w:bottom w:val="single" w:sz="8" w:color="auto"/>
              <w:right w:val="single" w:sz="8" w:color="auto"/>
            </w:tcBorders>
          </w:tcPr>
          <w:p>
            <w:pPr>
              <w:jc w:val="right"/>
              <w:spacing w:after="0" w:line="243" w:lineRule="exact"/>
              <w:rPr>
                <w:sz w:val="20"/>
                <w:szCs w:val="20"/>
                <w:color w:val="auto"/>
              </w:rPr>
            </w:pPr>
            <w:r>
              <w:rPr>
                <w:rFonts w:ascii="Arial" w:cs="Arial" w:eastAsia="Arial" w:hAnsi="Arial"/>
                <w:sz w:val="18"/>
                <w:szCs w:val="18"/>
                <w:color w:val="auto"/>
                <w:w w:val="94"/>
              </w:rPr>
              <w:t>4,435,130</w:t>
            </w:r>
            <w:r>
              <w:rPr>
                <w:rFonts w:ascii="Arial" w:cs="Arial" w:eastAsia="Arial" w:hAnsi="Arial"/>
                <w:sz w:val="26"/>
                <w:szCs w:val="26"/>
                <w:color w:val="auto"/>
                <w:w w:val="94"/>
                <w:vertAlign w:val="superscript"/>
              </w:rPr>
              <w:t>(3)</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$16.94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$75,131,102.20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$8,279.45</w:t>
            </w:r>
          </w:p>
        </w:tc>
      </w:tr>
      <w:tr>
        <w:trPr>
          <w:trHeight w:val="210"/>
        </w:trPr>
        <w:tc>
          <w:tcPr>
            <w:tcW w:w="152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92"/>
              </w:rPr>
              <w:t>Total Offering Amounts</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$75,131,102.20</w:t>
            </w:r>
          </w:p>
        </w:tc>
        <w:tc>
          <w:tcPr>
            <w:tcW w:w="8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$8,279.45</w:t>
            </w:r>
          </w:p>
        </w:tc>
      </w:tr>
      <w:tr>
        <w:trPr>
          <w:trHeight w:val="209"/>
        </w:trPr>
        <w:tc>
          <w:tcPr>
            <w:tcW w:w="152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89"/>
              </w:rPr>
              <w:t>Total Fees Previously Paid</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r>
        <w:trPr>
          <w:trHeight w:val="209"/>
        </w:trPr>
        <w:tc>
          <w:tcPr>
            <w:tcW w:w="152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89"/>
              </w:rPr>
              <w:t>Total Fee Offsets</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r>
        <w:trPr>
          <w:trHeight w:val="210"/>
        </w:trPr>
        <w:tc>
          <w:tcPr>
            <w:tcW w:w="1520" w:type="dxa"/>
            <w:vAlign w:val="bottom"/>
            <w:tcBorders>
              <w:left w:val="single" w:sz="8" w:color="auto"/>
              <w:bottom w:val="single" w:sz="8" w:color="auto"/>
            </w:tcBorders>
          </w:tcPr>
          <w:p>
            <w:pPr>
              <w:spacing w:after="0"/>
              <w:rPr>
                <w:sz w:val="18"/>
                <w:szCs w:val="18"/>
                <w:color w:val="auto"/>
              </w:rPr>
            </w:pPr>
          </w:p>
        </w:tc>
        <w:tc>
          <w:tcPr>
            <w:tcW w:w="382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90"/>
              </w:rPr>
              <w:t>Net Fee Due</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$8,279.45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this registration statement on Form S-8 (the</w:t>
      </w:r>
    </w:p>
    <w:p>
      <w:pPr>
        <w:spacing w:after="0" w:line="34" w:lineRule="exact"/>
        <w:rPr>
          <w:rFonts w:ascii="Arial" w:cs="Arial" w:eastAsia="Arial" w:hAnsi="Arial"/>
          <w:sz w:val="17"/>
          <w:szCs w:val="17"/>
          <w:color w:val="auto"/>
        </w:rPr>
      </w:pPr>
    </w:p>
    <w:p>
      <w:pPr>
        <w:ind w:left="424" w:right="300"/>
        <w:spacing w:after="0" w:line="25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also cover any additional shares of common stock, $0.001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Life360,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that become issuable under the Life360, Inc. 2011 Stock Plan (as amended, the “</w:t>
      </w:r>
      <w:r>
        <w:rPr>
          <w:rFonts w:ascii="Arial" w:cs="Arial" w:eastAsia="Arial" w:hAnsi="Arial"/>
          <w:sz w:val="18"/>
          <w:szCs w:val="18"/>
          <w:b w:val="1"/>
          <w:bCs w:val="1"/>
          <w:i w:val="1"/>
          <w:iCs w:val="1"/>
          <w:color w:val="auto"/>
        </w:rPr>
        <w:t>Stock Plan</w:t>
      </w:r>
      <w:r>
        <w:rPr>
          <w:rFonts w:ascii="Arial" w:cs="Arial" w:eastAsia="Arial" w:hAnsi="Arial"/>
          <w:sz w:val="18"/>
          <w:szCs w:val="18"/>
          <w:color w:val="auto"/>
        </w:rPr>
        <w:t>”) by reason of any stock dividend, stock split, recapitalization or any other similar transaction which results in an increase in the number of shares of the Registrant’s outstanding Common Stock.</w:t>
      </w:r>
    </w:p>
    <w:p>
      <w:pPr>
        <w:spacing w:after="0" w:line="1" w:lineRule="exact"/>
        <w:rPr>
          <w:rFonts w:ascii="Arial" w:cs="Arial" w:eastAsia="Arial" w:hAnsi="Arial"/>
          <w:sz w:val="17"/>
          <w:szCs w:val="17"/>
          <w:color w:val="auto"/>
        </w:rPr>
      </w:pPr>
    </w:p>
    <w:p>
      <w:pPr>
        <w:ind w:left="424" w:right="180" w:hanging="424"/>
        <w:spacing w:after="0" w:line="281"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Estimated solely for purposes of calculating the registration fee in accordance with Rule 457(c) and (h) of the Securities Act. The proposed maximum offering price per share of $16.94 was computed by averaging the high and low prices of a share of the Registrant’s Common Stock (traded as three CHESS Depositary Interests (“</w:t>
      </w:r>
      <w:r>
        <w:rPr>
          <w:rFonts w:ascii="Arial" w:cs="Arial" w:eastAsia="Arial" w:hAnsi="Arial"/>
          <w:sz w:val="16"/>
          <w:szCs w:val="16"/>
          <w:b w:val="1"/>
          <w:bCs w:val="1"/>
          <w:i w:val="1"/>
          <w:iCs w:val="1"/>
          <w:color w:val="auto"/>
        </w:rPr>
        <w:t>CDIs</w:t>
      </w:r>
      <w:r>
        <w:rPr>
          <w:rFonts w:ascii="Arial" w:cs="Arial" w:eastAsia="Arial" w:hAnsi="Arial"/>
          <w:sz w:val="16"/>
          <w:szCs w:val="16"/>
          <w:color w:val="auto"/>
        </w:rPr>
        <w:t>”) on the Australian Securities Exchange, on September 25, 2023, which date is within five business days prior to the filing of this Registration Statement, and multiplying such average by 3 (to account for the 1:3 ratio of Common Stock to CDIs). The U.S. dollar equivalent of the maximum offering price per share has been calculated using an exchange rate of 0.6453 to convert Australian dollars to U.S. dollars as of September 22, 2023, as announced by the Federal Reserve as of 12:00 p.m., Eastern Time.</w:t>
      </w:r>
    </w:p>
    <w:p>
      <w:pPr>
        <w:spacing w:after="0" w:line="3" w:lineRule="exact"/>
        <w:rPr>
          <w:rFonts w:ascii="Arial" w:cs="Arial" w:eastAsia="Arial" w:hAnsi="Arial"/>
          <w:sz w:val="16"/>
          <w:szCs w:val="16"/>
          <w:color w:val="auto"/>
        </w:rPr>
      </w:pPr>
    </w:p>
    <w:p>
      <w:pPr>
        <w:ind w:left="424" w:right="120" w:hanging="424"/>
        <w:spacing w:after="0" w:line="25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(i) 3,261,992 shares of Common Stock that were added to the shares authorized for issuance under the Stock Plan on January 1, 2023, pursuant to an “evergreen” provision contained in the Stock Plan, and (ii) 1,173,138 shares to register the remaining shares reserved under the Stock Plan not previously registered.</w:t>
      </w:r>
    </w:p>
    <w:p>
      <w:pPr>
        <w:spacing w:after="0" w:line="1" w:lineRule="exact"/>
        <w:rPr>
          <w:rFonts w:ascii="Arial" w:cs="Arial" w:eastAsia="Arial" w:hAnsi="Arial"/>
          <w:sz w:val="18"/>
          <w:szCs w:val="18"/>
          <w:color w:val="auto"/>
        </w:rPr>
      </w:pPr>
    </w:p>
    <w:p>
      <w:pPr>
        <w:ind w:left="424" w:right="60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pursuant to Rule 457 of the Securities Act by calculating the product of (i) the proposed maximum aggregate offering price and (ii) 0.00011020.</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upperLetter"/>
      <w:start w:val="20"/>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37" Type="http://schemas.openxmlformats.org/officeDocument/2006/relationships/image" Target="media/image19.jpeg"/><Relationship Id="rId38" Type="http://schemas.openxmlformats.org/officeDocument/2006/relationships/image" Target="media/image20.png"/><Relationship Id="rId39" Type="http://schemas.openxmlformats.org/officeDocument/2006/relationships/image" Target="media/image21.jpeg"/><Relationship Id="rId40" Type="http://schemas.openxmlformats.org/officeDocument/2006/relationships/image" Target="media/image22.png"/><Relationship Id="rId19" Type="http://schemas.openxmlformats.org/officeDocument/2006/relationships/hyperlink" Target="http://www.sec.gov/Archives/edgar/data/1581760/000158176023000031/lifx-20221231.htm" TargetMode="External"/><Relationship Id="rId20" Type="http://schemas.openxmlformats.org/officeDocument/2006/relationships/hyperlink" Target="http://www.sec.gov/Archives/edgar/data/1581760/000158176023000045/lifx-20230331.htm" TargetMode="External"/><Relationship Id="rId21" Type="http://schemas.openxmlformats.org/officeDocument/2006/relationships/hyperlink" Target="http://www.sec.gov/Archives/edgar/data/1581760/000158176023000101/lifx-20230630.htm" TargetMode="External"/><Relationship Id="rId22" Type="http://schemas.openxmlformats.org/officeDocument/2006/relationships/hyperlink" Target="http://www.sec.gov/Archives/edgar/data/1581760/000158176023000047/lifx-20230512.htm" TargetMode="External"/><Relationship Id="rId23" Type="http://schemas.openxmlformats.org/officeDocument/2006/relationships/hyperlink" Target="http://www.sec.gov/Archives/edgar/data/1581760/000158176023000068/lifx-20230530.htm" TargetMode="External"/><Relationship Id="rId24" Type="http://schemas.openxmlformats.org/officeDocument/2006/relationships/hyperlink" Target="http://www.sec.gov/Archives/edgar/data/1581760/000119312522187348/d328928d1012ga.htm#rom328928_12" TargetMode="External"/><Relationship Id="rId26" Type="http://schemas.openxmlformats.org/officeDocument/2006/relationships/hyperlink" Target="http://www.sec.gov/Archives/edgar/data/1581760/000119312522120522/d328928dex31.htm" TargetMode="External"/><Relationship Id="rId27" Type="http://schemas.openxmlformats.org/officeDocument/2006/relationships/hyperlink" Target="http://www.sec.gov/Archives/edgar/data/1581760/000158176023000031/exhibit32-life360fy22xbyla.htm" TargetMode="External"/><Relationship Id="rId28" Type="http://schemas.openxmlformats.org/officeDocument/2006/relationships/hyperlink" Target="http://www.sec.gov/Archives/edgar/data/1581760/000119312522120522/d328928dex102.htm" TargetMode="External"/><Relationship Id="rId29" Type="http://schemas.openxmlformats.org/officeDocument/2006/relationships/hyperlink" Target="http://www.sec.gov/Archives/edgar/data/1581760/000119312522120522/d328928dex103.htm" TargetMode="External"/><Relationship Id="rId30" Type="http://schemas.openxmlformats.org/officeDocument/2006/relationships/hyperlink" Target="http://www.sec.gov/Archives/edgar/data/1581760/000119312522120522/d32892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2023-09-27T16:36:21Z</dcterms:created>
  <dcterms:modified xsi:type="dcterms:W3CDTF">2023-09-27T16:36:21Z</dcterms:modified>
</cp:coreProperties>
</file>