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Rice David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94107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09/08/2022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1,712</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378,158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317,570 shares of the Issuer's common stock underlying 952,710 Chess Depositary Interests ("CDIs"). The CDIs are traded on the Australian Securities Exchange (the "ASX") and are held by CHESS Depositary Nominees Pty, Limited, a subsidiary of ASX Limited, the company that operates the ASX. Also includes 57,354 restricted stock units, each of which represents a contingent right to receive one share of the Issuer's common stock upon vesting.</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923"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2022-09-12T16:08:59Z</dcterms:created>
  <dcterms:modified xsi:type="dcterms:W3CDTF">2022-09-12T16:08:59Z</dcterms:modified>
</cp:coreProperties>
</file>