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95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95390"/>
                    </a:xfrm>
                    <a:prstGeom prst="rect">
                      <a:avLst/>
                    </a:prstGeom>
                    <a:noFill/>
                  </pic:spPr>
                </pic:pic>
              </a:graphicData>
            </a:graphic>
          </wp:anchor>
        </w:drawing>
      </w:r>
    </w:p>
    <w:p>
      <w:pPr>
        <w:sectPr>
          <w:pgSz w:w="11900" w:h="1692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COGHLAN JOHN PHILIP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4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929"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jc w:val="center"/>
              <w:ind w:right="474"/>
              <w:spacing w:after="0"/>
              <w:rPr>
                <w:sz w:val="20"/>
                <w:szCs w:val="20"/>
                <w:color w:val="auto"/>
              </w:rPr>
            </w:pPr>
            <w:r>
              <w:rPr>
                <w:rFonts w:ascii="Times New Roman" w:cs="Times New Roman" w:eastAsia="Times New Roman" w:hAnsi="Times New Roman"/>
                <w:sz w:val="20"/>
                <w:szCs w:val="20"/>
                <w:color w:val="0000FF"/>
              </w:rPr>
              <w:t>68,161</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vMerge w:val="restart"/>
          </w:tcPr>
          <w:p>
            <w:pPr>
              <w:jc w:val="right"/>
              <w:ind w:right="574"/>
              <w:spacing w:after="0"/>
              <w:rPr>
                <w:sz w:val="20"/>
                <w:szCs w:val="20"/>
                <w:color w:val="auto"/>
              </w:rPr>
            </w:pPr>
            <w:r>
              <w:rPr>
                <w:rFonts w:ascii="Times New Roman" w:cs="Times New Roman" w:eastAsia="Times New Roman" w:hAnsi="Times New Roman"/>
                <w:sz w:val="20"/>
                <w:szCs w:val="20"/>
                <w:color w:val="0000FF"/>
              </w:rPr>
              <w:t>34,893</w:t>
            </w:r>
          </w:p>
        </w:tc>
        <w:tc>
          <w:tcPr>
            <w:tcW w:w="82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the John Coghlan Living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9"/>
              </w:rPr>
              <w:t>Trust</w:t>
            </w: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06/30/2026</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31,938</w:t>
            </w:r>
          </w:p>
        </w:tc>
        <w:tc>
          <w:tcPr>
            <w:tcW w:w="60" w:type="dxa"/>
            <w:vAlign w:val="bottom"/>
          </w:tcPr>
          <w:p>
            <w:pPr>
              <w:spacing w:after="0"/>
              <w:rPr>
                <w:sz w:val="24"/>
                <w:szCs w:val="24"/>
                <w:color w:val="auto"/>
              </w:rPr>
            </w:pPr>
          </w:p>
        </w:tc>
        <w:tc>
          <w:tcPr>
            <w:tcW w:w="1000" w:type="dxa"/>
            <w:vAlign w:val="bottom"/>
            <w:gridSpan w:val="2"/>
          </w:tcPr>
          <w:p>
            <w:pPr>
              <w:jc w:val="center"/>
              <w:ind w:right="14"/>
              <w:spacing w:after="0"/>
              <w:rPr>
                <w:sz w:val="20"/>
                <w:szCs w:val="20"/>
                <w:color w:val="auto"/>
              </w:rPr>
            </w:pPr>
            <w:r>
              <w:rPr>
                <w:rFonts w:ascii="Times New Roman" w:cs="Times New Roman" w:eastAsia="Times New Roman" w:hAnsi="Times New Roman"/>
                <w:sz w:val="20"/>
                <w:szCs w:val="20"/>
                <w:color w:val="0000FF"/>
                <w:w w:val="97"/>
              </w:rPr>
              <w:t>0.18</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10/24/2027</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143,226</w:t>
            </w:r>
          </w:p>
        </w:tc>
        <w:tc>
          <w:tcPr>
            <w:tcW w:w="60" w:type="dxa"/>
            <w:vAlign w:val="bottom"/>
          </w:tcPr>
          <w:p>
            <w:pPr>
              <w:spacing w:after="0"/>
              <w:rPr>
                <w:sz w:val="24"/>
                <w:szCs w:val="24"/>
                <w:color w:val="auto"/>
              </w:rPr>
            </w:pPr>
          </w:p>
        </w:tc>
        <w:tc>
          <w:tcPr>
            <w:tcW w:w="1000" w:type="dxa"/>
            <w:vAlign w:val="bottom"/>
            <w:gridSpan w:val="2"/>
          </w:tcPr>
          <w:p>
            <w:pPr>
              <w:jc w:val="center"/>
              <w:ind w:right="14"/>
              <w:spacing w:after="0"/>
              <w:rPr>
                <w:sz w:val="20"/>
                <w:szCs w:val="20"/>
                <w:color w:val="auto"/>
              </w:rPr>
            </w:pPr>
            <w:r>
              <w:rPr>
                <w:rFonts w:ascii="Times New Roman" w:cs="Times New Roman" w:eastAsia="Times New Roman" w:hAnsi="Times New Roman"/>
                <w:sz w:val="20"/>
                <w:szCs w:val="20"/>
                <w:color w:val="0000FF"/>
                <w:w w:val="97"/>
              </w:rPr>
              <w:t>2.15</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03/14/2029</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48,946</w:t>
            </w:r>
          </w:p>
        </w:tc>
        <w:tc>
          <w:tcPr>
            <w:tcW w:w="60" w:type="dxa"/>
            <w:vAlign w:val="bottom"/>
          </w:tcPr>
          <w:p>
            <w:pPr>
              <w:spacing w:after="0"/>
              <w:rPr>
                <w:sz w:val="24"/>
                <w:szCs w:val="24"/>
                <w:color w:val="auto"/>
              </w:rPr>
            </w:pPr>
          </w:p>
        </w:tc>
        <w:tc>
          <w:tcPr>
            <w:tcW w:w="1000" w:type="dxa"/>
            <w:vAlign w:val="bottom"/>
            <w:gridSpan w:val="2"/>
          </w:tcPr>
          <w:p>
            <w:pPr>
              <w:jc w:val="center"/>
              <w:ind w:right="14"/>
              <w:spacing w:after="0"/>
              <w:rPr>
                <w:sz w:val="20"/>
                <w:szCs w:val="20"/>
                <w:color w:val="auto"/>
              </w:rPr>
            </w:pPr>
            <w:r>
              <w:rPr>
                <w:rFonts w:ascii="Times New Roman" w:cs="Times New Roman" w:eastAsia="Times New Roman" w:hAnsi="Times New Roman"/>
                <w:sz w:val="20"/>
                <w:szCs w:val="20"/>
                <w:color w:val="0000FF"/>
                <w:w w:val="97"/>
              </w:rPr>
              <w:t>6.28</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04/29/2031</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15,119</w:t>
            </w:r>
          </w:p>
        </w:tc>
        <w:tc>
          <w:tcPr>
            <w:tcW w:w="60" w:type="dxa"/>
            <w:vAlign w:val="bottom"/>
          </w:tcPr>
          <w:p>
            <w:pPr>
              <w:spacing w:after="0"/>
              <w:rPr>
                <w:sz w:val="24"/>
                <w:szCs w:val="24"/>
                <w:color w:val="auto"/>
              </w:rPr>
            </w:pPr>
          </w:p>
        </w:tc>
        <w:tc>
          <w:tcPr>
            <w:tcW w:w="1000" w:type="dxa"/>
            <w:vAlign w:val="bottom"/>
            <w:gridSpan w:val="2"/>
          </w:tcPr>
          <w:p>
            <w:pPr>
              <w:jc w:val="center"/>
              <w:ind w:right="34"/>
              <w:spacing w:after="0"/>
              <w:rPr>
                <w:sz w:val="20"/>
                <w:szCs w:val="20"/>
                <w:color w:val="auto"/>
              </w:rPr>
            </w:pPr>
            <w:r>
              <w:rPr>
                <w:rFonts w:ascii="Times New Roman" w:cs="Times New Roman" w:eastAsia="Times New Roman" w:hAnsi="Times New Roman"/>
                <w:sz w:val="20"/>
                <w:szCs w:val="20"/>
                <w:color w:val="0000FF"/>
                <w:w w:val="97"/>
              </w:rPr>
              <w:t>13.35</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05/20/2032</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18,700</w:t>
            </w:r>
          </w:p>
        </w:tc>
        <w:tc>
          <w:tcPr>
            <w:tcW w:w="60" w:type="dxa"/>
            <w:vAlign w:val="bottom"/>
          </w:tcPr>
          <w:p>
            <w:pPr>
              <w:spacing w:after="0"/>
              <w:rPr>
                <w:sz w:val="24"/>
                <w:szCs w:val="24"/>
                <w:color w:val="auto"/>
              </w:rPr>
            </w:pPr>
          </w:p>
        </w:tc>
        <w:tc>
          <w:tcPr>
            <w:tcW w:w="1000" w:type="dxa"/>
            <w:vAlign w:val="bottom"/>
            <w:gridSpan w:val="2"/>
          </w:tcPr>
          <w:p>
            <w:pPr>
              <w:jc w:val="center"/>
              <w:ind w:right="14"/>
              <w:spacing w:after="0"/>
              <w:rPr>
                <w:sz w:val="20"/>
                <w:szCs w:val="20"/>
                <w:color w:val="auto"/>
              </w:rPr>
            </w:pPr>
            <w:r>
              <w:rPr>
                <w:rFonts w:ascii="Times New Roman" w:cs="Times New Roman" w:eastAsia="Times New Roman" w:hAnsi="Times New Roman"/>
                <w:sz w:val="20"/>
                <w:szCs w:val="20"/>
                <w:color w:val="0000FF"/>
                <w:w w:val="97"/>
              </w:rPr>
              <w:t>8.19</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5,424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on March 14, 2020, and thereafter vests and becomes exercisable as to 1/48th of the total number of shares in equal monthly installments,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29"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5/27/2022.</w:t>
      </w:r>
    </w:p>
    <w:p>
      <w:pPr>
        <w:ind w:right="69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John Philip Coghlan Name: John Philip Coghlan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5999"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2022-06-27T18:16:26Z</dcterms:created>
  <dcterms:modified xsi:type="dcterms:W3CDTF">2022-06-27T18:16:26Z</dcterms:modified>
</cp:coreProperties>
</file>