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001-42120</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6, 2025, the registrant had 76,528,724 shares of common stock, par value $0.001 per share, including shares underlying all issued and outstanding Chess Depositary Interests (“CDIs”),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720"/>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Form 10-Q for the Quarter Ended March 31, 2025</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
              <w:r>
                <w:rPr>
                  <w:rStyle w:val="InternetLink"/>
                  <w:rFonts w:ascii="Times New Roman;sans-serif" w:hAnsi="Times New Roman;sans-serif"/>
                  <w:b/>
                  <w:color w:val="0000FF"/>
                  <w:sz w:val="20"/>
                  <w:u w:val="single"/>
                </w:rPr>
                <w:t>Part I - Financial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
              <w:r>
                <w:rPr>
                  <w:rStyle w:val="InternetLink"/>
                  <w:rFonts w:ascii="Times New Roman;sans-serif" w:hAnsi="Times New Roman;sans-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
              <w:r>
                <w:rPr>
                  <w:rStyle w:val="InternetLink"/>
                  <w:rFonts w:ascii="Times New Roman;sans-serif" w:hAnsi="Times New Roman;sans-serif"/>
                  <w:b w:val="false"/>
                  <w:color w:val="0000FF"/>
                  <w:sz w:val="20"/>
                  <w:u w:val="single"/>
                </w:rPr>
                <w:t>Financial Statements (unaudited)</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6">
              <w:r>
                <w:rPr>
                  <w:rStyle w:val="InternetLink"/>
                  <w:rFonts w:ascii="Times New Roman;sans-serif" w:hAnsi="Times New Roman;sans-serif"/>
                  <w:b w:val="false"/>
                  <w:strike w:val="false"/>
                  <w:dstrike w:val="false"/>
                  <w:color w:val="000000"/>
                  <w:sz w:val="20"/>
                  <w:u w:val="none"/>
                  <w:effect w:val="none"/>
                </w:rPr>
                <w:t>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9">
              <w:r>
                <w:rPr>
                  <w:rStyle w:val="InternetLink"/>
                  <w:rFonts w:ascii="Times New Roman;sans-serif" w:hAnsi="Times New Roman;sans-serif"/>
                  <w:b w:val="false"/>
                  <w:color w:val="0000FF"/>
                  <w:sz w:val="20"/>
                  <w:u w:val="single"/>
                </w:rPr>
                <w:t>Condensed Consolidated Balance Sheets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9">
              <w:r>
                <w:rPr>
                  <w:rStyle w:val="InternetLink"/>
                  <w:rFonts w:ascii="Times New Roman;sans-serif" w:hAnsi="Times New Roman;sans-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22">
              <w:r>
                <w:rPr>
                  <w:rStyle w:val="InternetLink"/>
                  <w:rFonts w:ascii="Times New Roman;sans-serif" w:hAnsi="Times New Roman;sans-serif"/>
                  <w:b w:val="false"/>
                  <w:color w:val="0000FF"/>
                  <w:sz w:val="20"/>
                  <w:u w:val="single"/>
                </w:rPr>
                <w:t>Condensed Consolidated Statements of Operations and Comprehensive Income (Loss)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22">
              <w:r>
                <w:rPr>
                  <w:rStyle w:val="InternetLink"/>
                  <w:rFonts w:ascii="Times New Roman;sans-serif" w:hAnsi="Times New Roman;sans-serif"/>
                  <w:b w:val="false"/>
                  <w:strike w:val="false"/>
                  <w:dstrike w:val="false"/>
                  <w:color w:val="000000"/>
                  <w:sz w:val="20"/>
                  <w:u w:val="none"/>
                  <w:effect w:val="non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25">
              <w:r>
                <w:rPr>
                  <w:rStyle w:val="InternetLink"/>
                  <w:rFonts w:ascii="Times New Roman;sans-serif" w:hAnsi="Times New Roman;sans-serif"/>
                  <w:b w:val="false"/>
                  <w:color w:val="0000FF"/>
                  <w:sz w:val="20"/>
                  <w:u w:val="single"/>
                </w:rPr>
                <w:t>Condensed Consolidated Statements of Stockholders’ Equity</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25">
              <w:r>
                <w:rPr>
                  <w:rStyle w:val="InternetLink"/>
                  <w:rFonts w:ascii="Times New Roman;sans-serif" w:hAnsi="Times New Roman;sans-serif"/>
                  <w:b w:val="false"/>
                  <w:strike w:val="false"/>
                  <w:dstrike w:val="false"/>
                  <w:color w:val="000000"/>
                  <w:sz w:val="20"/>
                  <w:u w:val="none"/>
                  <w:effect w:val="none"/>
                </w:rPr>
                <w:t>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28">
              <w:r>
                <w:rPr>
                  <w:rStyle w:val="InternetLink"/>
                  <w:rFonts w:ascii="Times New Roman;sans-serif" w:hAnsi="Times New Roman;sans-serif"/>
                  <w:b w:val="false"/>
                  <w:color w:val="0000FF"/>
                  <w:sz w:val="20"/>
                  <w:u w:val="single"/>
                </w:rPr>
                <w:t>Condensed Consolidated Statements of Cash Flows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28">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31">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r>
              <w:rPr>
                <w:rFonts w:ascii="Times New Roman;sans-serif" w:hAnsi="Times New Roman;sans-serif"/>
                <w:b w:val="false"/>
                <w:color w:val="000000"/>
                <w:sz w:val="20"/>
              </w:rPr>
              <w:t>(unaudited)</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31">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00">
              <w:r>
                <w:rPr>
                  <w:rStyle w:val="InternetLink"/>
                  <w:rFonts w:ascii="Times New Roman;sans-serif" w:hAnsi="Times New Roman;sans-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0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00">
              <w:r>
                <w:rPr>
                  <w:rStyle w:val="InternetLink"/>
                  <w:rFonts w:ascii="Times New Roman;sans-serif" w:hAnsi="Times New Roman;sans-serif"/>
                  <w:b w:val="false"/>
                  <w:strike w:val="false"/>
                  <w:dstrike w:val="false"/>
                  <w:color w:val="000000"/>
                  <w:sz w:val="20"/>
                  <w:u w:val="none"/>
                  <w:effect w:val="none"/>
                </w:rPr>
                <w:t>21</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0">
              <w:r>
                <w:rPr>
                  <w:rStyle w:val="InternetLink"/>
                  <w:rFonts w:ascii="Times New Roman;sans-serif" w:hAnsi="Times New Roman;sans-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0">
              <w:r>
                <w:rPr>
                  <w:rStyle w:val="InternetLink"/>
                  <w:rFonts w:ascii="Times New Roman;sans-serif" w:hAnsi="Times New Roman;sans-serif"/>
                  <w:b w:val="false"/>
                  <w:color w:val="0000FF"/>
                  <w:sz w:val="20"/>
                  <w:u w:val="single"/>
                </w:rPr>
                <w:t>Quantitative and Qualitative Disclosures About Market Risk</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30">
              <w:r>
                <w:rPr>
                  <w:rStyle w:val="InternetLink"/>
                  <w:rFonts w:ascii="Times New Roman;sans-serif" w:hAnsi="Times New Roman;sans-serif"/>
                  <w:b w:val="false"/>
                  <w:strike w:val="false"/>
                  <w:dstrike w:val="false"/>
                  <w:color w:val="000000"/>
                  <w:sz w:val="20"/>
                  <w:u w:val="none"/>
                  <w:effect w:val="none"/>
                </w:rPr>
                <w:t>32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3">
              <w:r>
                <w:rPr>
                  <w:rStyle w:val="InternetLink"/>
                  <w:rFonts w:ascii="Times New Roman;sans-serif" w:hAnsi="Times New Roman;sans-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3">
              <w:r>
                <w:rPr>
                  <w:rStyle w:val="InternetLink"/>
                  <w:rFonts w:ascii="Times New Roman;sans-serif" w:hAnsi="Times New Roman;sans-serif"/>
                  <w:b w:val="false"/>
                  <w:color w:val="0000FF"/>
                  <w:sz w:val="20"/>
                  <w:u w:val="single"/>
                </w:rPr>
                <w:t>Controls and Procedures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6">
              <w:r>
                <w:rPr>
                  <w:rStyle w:val="InternetLink"/>
                  <w:rFonts w:ascii="Times New Roman;sans-serif" w:hAnsi="Times New Roman;sans-serif"/>
                  <w:b/>
                  <w:color w:val="0000FF"/>
                  <w:sz w:val="20"/>
                  <w:u w:val="single"/>
                </w:rPr>
                <w:t>Part II - Other Information</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39">
              <w:r>
                <w:rPr>
                  <w:rStyle w:val="InternetLink"/>
                  <w:rFonts w:ascii="Times New Roman;sans-serif" w:hAnsi="Times New Roman;sans-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14470804afe4b5086df10f2c0e172da_139">
              <w:r>
                <w:rPr>
                  <w:rStyle w:val="InternetLink"/>
                  <w:rFonts w:ascii="Times New Roman;sans-serif" w:hAnsi="Times New Roman;sans-serif"/>
                  <w:b w:val="false"/>
                  <w:color w:val="0000FF"/>
                  <w:sz w:val="20"/>
                  <w:u w:val="single"/>
                </w:rPr>
                <w:t>Legal Proceedings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39">
              <w:r>
                <w:rPr>
                  <w:rStyle w:val="InternetLink"/>
                  <w:rFonts w:ascii="Times New Roman;sans-serif" w:hAnsi="Times New Roman;sans-serif"/>
                  <w:b w:val="false"/>
                  <w:strike w:val="false"/>
                  <w:dstrike w:val="false"/>
                  <w:color w:val="000000"/>
                  <w:sz w:val="20"/>
                  <w:u w:val="none"/>
                  <w:effect w:val="none"/>
                </w:rPr>
                <w:t>34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42">
              <w:r>
                <w:rPr>
                  <w:rStyle w:val="InternetLink"/>
                  <w:rFonts w:ascii="Times New Roman;sans-serif" w:hAnsi="Times New Roman;sans-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42">
              <w:r>
                <w:rPr>
                  <w:rStyle w:val="InternetLink"/>
                  <w:rFonts w:ascii="Times New Roman;sans-serif" w:hAnsi="Times New Roman;sans-serif"/>
                  <w:b w:val="false"/>
                  <w:color w:val="0000FF"/>
                  <w:sz w:val="20"/>
                  <w:u w:val="single"/>
                </w:rPr>
                <w:t>Risk Factors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42">
              <w:r>
                <w:rPr>
                  <w:rStyle w:val="InternetLink"/>
                  <w:rFonts w:ascii="Times New Roman;sans-serif" w:hAnsi="Times New Roman;sans-serif"/>
                  <w:b w:val="false"/>
                  <w:strike w:val="false"/>
                  <w:dstrike w:val="false"/>
                  <w:color w:val="000000"/>
                  <w:sz w:val="20"/>
                  <w:u w:val="none"/>
                  <w:effect w:val="none"/>
                </w:rPr>
                <w:t>34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6">
              <w:r>
                <w:rPr>
                  <w:rStyle w:val="InternetLink"/>
                  <w:rFonts w:ascii="Times New Roman;sans-serif" w:hAnsi="Times New Roman;sans-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6">
              <w:r>
                <w:rPr>
                  <w:rStyle w:val="InternetLink"/>
                  <w:rFonts w:ascii="Times New Roman;sans-serif" w:hAnsi="Times New Roman;sans-serif"/>
                  <w:b w:val="false"/>
                  <w:color w:val="0000FF"/>
                  <w:sz w:val="20"/>
                  <w:u w:val="single"/>
                </w:rPr>
                <w:t>Unregistered Sales of Equity Securities and Use of Proceeds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66">
              <w:r>
                <w:rPr>
                  <w:rStyle w:val="InternetLink"/>
                  <w:rFonts w:ascii="Times New Roman;sans-serif" w:hAnsi="Times New Roman;sans-serif"/>
                  <w:b w:val="false"/>
                  <w:strike w:val="false"/>
                  <w:dstrike w:val="false"/>
                  <w:color w:val="000000"/>
                  <w:sz w:val="20"/>
                  <w:u w:val="none"/>
                  <w:effect w:val="none"/>
                </w:rPr>
                <w:t>35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9">
              <w:r>
                <w:rPr>
                  <w:rStyle w:val="InternetLink"/>
                  <w:rFonts w:ascii="Times New Roman;sans-serif" w:hAnsi="Times New Roman;sans-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69">
              <w:r>
                <w:rPr>
                  <w:rStyle w:val="InternetLink"/>
                  <w:rFonts w:ascii="Times New Roman;sans-serif" w:hAnsi="Times New Roman;sans-serif"/>
                  <w:b w:val="false"/>
                  <w:color w:val="0000FF"/>
                  <w:sz w:val="20"/>
                  <w:u w:val="single"/>
                </w:rPr>
                <w:t>Defaults Upon Senior Securities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69">
              <w:r>
                <w:rPr>
                  <w:rStyle w:val="InternetLink"/>
                  <w:rFonts w:ascii="Times New Roman;sans-serif" w:hAnsi="Times New Roman;sans-serif"/>
                  <w:b w:val="false"/>
                  <w:strike w:val="false"/>
                  <w:dstrike w:val="false"/>
                  <w:color w:val="000000"/>
                  <w:sz w:val="20"/>
                  <w:u w:val="none"/>
                  <w:effect w:val="none"/>
                </w:rPr>
                <w:t>35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72">
              <w:r>
                <w:rPr>
                  <w:rStyle w:val="InternetLink"/>
                  <w:rFonts w:ascii="Times New Roman;sans-serif" w:hAnsi="Times New Roman;sans-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72">
              <w:r>
                <w:rPr>
                  <w:rStyle w:val="InternetLink"/>
                  <w:rFonts w:ascii="Times New Roman;sans-serif" w:hAnsi="Times New Roman;sans-serif"/>
                  <w:b w:val="false"/>
                  <w:color w:val="0000FF"/>
                  <w:sz w:val="20"/>
                  <w:u w:val="single"/>
                </w:rPr>
                <w:t>Mine Safety Disclosures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72">
              <w:r>
                <w:rPr>
                  <w:rStyle w:val="InternetLink"/>
                  <w:rFonts w:ascii="Times New Roman;sans-serif" w:hAnsi="Times New Roman;sans-serif"/>
                  <w:b w:val="false"/>
                  <w:strike w:val="false"/>
                  <w:dstrike w:val="false"/>
                  <w:color w:val="000000"/>
                  <w:sz w:val="20"/>
                  <w:u w:val="none"/>
                  <w:effect w:val="none"/>
                </w:rPr>
                <w:t>35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75">
              <w:r>
                <w:rPr>
                  <w:rStyle w:val="InternetLink"/>
                  <w:rFonts w:ascii="Times New Roman;sans-serif" w:hAnsi="Times New Roman;sans-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75">
              <w:r>
                <w:rPr>
                  <w:rStyle w:val="InternetLink"/>
                  <w:rFonts w:ascii="Times New Roman;sans-serif" w:hAnsi="Times New Roman;sans-serif"/>
                  <w:b w:val="false"/>
                  <w:color w:val="0000FF"/>
                  <w:sz w:val="20"/>
                  <w:u w:val="single"/>
                </w:rPr>
                <w:t>Other Information</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75">
              <w:r>
                <w:rPr>
                  <w:rStyle w:val="InternetLink"/>
                  <w:rFonts w:ascii="Times New Roman;sans-serif" w:hAnsi="Times New Roman;sans-serif"/>
                  <w:b w:val="false"/>
                  <w:strike w:val="false"/>
                  <w:dstrike w:val="false"/>
                  <w:color w:val="000000"/>
                  <w:sz w:val="20"/>
                  <w:u w:val="none"/>
                  <w:effect w:val="none"/>
                </w:rPr>
                <w:t>35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81">
              <w:r>
                <w:rPr>
                  <w:rStyle w:val="InternetLink"/>
                  <w:rFonts w:ascii="Times New Roman;sans-serif" w:hAnsi="Times New Roman;sans-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81">
              <w:r>
                <w:rPr>
                  <w:rStyle w:val="InternetLink"/>
                  <w:rFonts w:ascii="Times New Roman;sans-serif" w:hAnsi="Times New Roman;sans-serif"/>
                  <w:b w:val="false"/>
                  <w:color w:val="0000FF"/>
                  <w:sz w:val="20"/>
                  <w:u w:val="single"/>
                </w:rPr>
                <w:t>Exhibits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81">
              <w:r>
                <w:rPr>
                  <w:rStyle w:val="InternetLink"/>
                  <w:rFonts w:ascii="Times New Roman;sans-serif" w:hAnsi="Times New Roman;sans-serif"/>
                  <w:b w:val="false"/>
                  <w:strike w:val="false"/>
                  <w:dstrike w:val="false"/>
                  <w:color w:val="000000"/>
                  <w:sz w:val="20"/>
                  <w:u w:val="none"/>
                  <w:effect w:val="none"/>
                </w:rPr>
                <w:t>37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14470804afe4b5086df10f2c0e172da_184">
              <w:r>
                <w:rPr>
                  <w:rStyle w:val="InternetLink"/>
                  <w:rFonts w:ascii="Times New Roman;sans-serif" w:hAnsi="Times New Roman;sans-serif"/>
                  <w:b w:val="false"/>
                  <w:color w:val="0000FF"/>
                  <w:sz w:val="20"/>
                  <w:u w:val="single"/>
                </w:rPr>
                <w:t>Signatures</w:t>
              </w:r>
            </w:hyperlink>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14470804afe4b5086df10f2c0e172da_184">
              <w:r>
                <w:rPr>
                  <w:rStyle w:val="InternetLink"/>
                  <w:rFonts w:ascii="Times New Roman;sans-serif" w:hAnsi="Times New Roman;sans-serif"/>
                  <w:b w:val="false"/>
                  <w:strike w:val="false"/>
                  <w:dstrike w:val="false"/>
                  <w:color w:val="000000"/>
                  <w:sz w:val="20"/>
                  <w:u w:val="none"/>
                  <w:effect w:val="none"/>
                </w:rPr>
                <w:t>38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bookmarkStart w:id="0" w:name="ia64d99cfc2ad40e6b44c96b461033bde_2849"/>
      <w:bookmarkEnd w:id="0"/>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 xml:space="preserve">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Securities Exchange Act of 1934, as amended (the “Exchange Act”).. These forward-looking statements include statements regarding, among other things, (a) our expectations regarding our results of operations and key performance indicators, (b) key factors affecting our performance (c) our growth strategy, (d) our future financing plans, and (e)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These forward-looking statements are subject to risks and uncertainties, many of which are outside of our control, including risks related to our business, market risks, our need for additional capital, and the risk that our products and services may not perform as expected, as described in </w:t>
      </w:r>
      <w:r>
        <w:rPr>
          <w:color w:val="000000"/>
        </w:rPr>
        <w:t>“</w:t>
      </w:r>
      <w:r>
        <w:rPr>
          <w:rFonts w:ascii="Times New Roman;sans-serif" w:hAnsi="Times New Roman;sans-serif"/>
          <w:b w:val="false"/>
          <w:color w:val="000000"/>
          <w:sz w:val="20"/>
        </w:rPr>
        <w:t>Risk Factors” under Part II, Item 1A in this Quarterly Report and Part I, Item 1A of the Company’s Form 10-K for the year ended December 31, 2024, filed with the Securities and Exchange Commission (the “SEC”) on February 27, 2025 (“Annual Report”), as well as in other sections of this report, as such risks may be updated in subsequent filings with the SEC or the Australian Securities Exchange (“ASX”)</w:t>
      </w:r>
      <w:r>
        <w:rPr>
          <w:rFonts w:ascii="Times New Roman;sans-serif" w:hAnsi="Times New Roman;sans-serif"/>
          <w:b w:val="false"/>
          <w:color w:val="000000"/>
          <w:sz w:val="20"/>
          <w:shd w:fill="FFFFFF" w:val="clear"/>
        </w:rPr>
        <w:t>.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shd w:fill="FFFFFF" w:val="clear"/>
        </w:rPr>
        <w:t xml:space="preserve">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but not limited to, those discussed in </w:t>
      </w:r>
      <w:r>
        <w:rPr>
          <w:color w:val="000000"/>
        </w:rPr>
        <w:t>“</w:t>
      </w:r>
      <w:r>
        <w:rPr>
          <w:rFonts w:ascii="Times New Roman;sans-serif" w:hAnsi="Times New Roman;sans-serif"/>
          <w:b w:val="false"/>
          <w:color w:val="000000"/>
          <w:sz w:val="20"/>
        </w:rPr>
        <w:t>Risk Factors” under Part II, Item 1A in this Quarterly Report and Part I, Item 1A in our Annual Report, and other sections in this Quarterly Report</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5"/>
        <w:gridCol w:w="2315"/>
        <w:gridCol w:w="2309"/>
        <w:gridCol w:w="211"/>
        <w:gridCol w:w="826"/>
        <w:gridCol w:w="109"/>
        <w:gridCol w:w="109"/>
        <w:gridCol w:w="109"/>
        <w:gridCol w:w="109"/>
        <w:gridCol w:w="211"/>
        <w:gridCol w:w="826"/>
        <w:gridCol w:w="156"/>
      </w:tblGrid>
      <w:tr>
        <w:trPr/>
        <w:tc>
          <w:tcPr>
            <w:tcW w:w="2915"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related party receivables of $0 and $55,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8)</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500,000,000 authorized as of March 31, 2025 and December 31, 2024, respectively; 76,418,660 and 75,404,996 issued and outstanding as of March 31, 2025 and December 31,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455,422 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441,580 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62"/>
        <w:gridCol w:w="2223"/>
        <w:gridCol w:w="2231"/>
        <w:gridCol w:w="244"/>
        <w:gridCol w:w="837"/>
        <w:gridCol w:w="109"/>
        <w:gridCol w:w="109"/>
        <w:gridCol w:w="109"/>
        <w:gridCol w:w="109"/>
        <w:gridCol w:w="244"/>
        <w:gridCol w:w="837"/>
        <w:gridCol w:w="109"/>
        <w:gridCol w:w="109"/>
        <w:gridCol w:w="109"/>
        <w:gridCol w:w="109"/>
        <w:gridCol w:w="155"/>
      </w:tblGrid>
      <w:tr>
        <w:trPr/>
        <w:tc>
          <w:tcPr>
            <w:tcW w:w="2562"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$292 and $0, respectively)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basic (Note 14)</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diluted (Note 14)</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basic (Note 14)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diluted (Note 14)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44"/>
        <w:gridCol w:w="418"/>
        <w:gridCol w:w="419"/>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4"/>
        <w:gridCol w:w="109"/>
        <w:gridCol w:w="109"/>
        <w:gridCol w:w="109"/>
        <w:gridCol w:w="109"/>
        <w:gridCol w:w="376"/>
        <w:gridCol w:w="644"/>
        <w:gridCol w:w="196"/>
        <w:gridCol w:w="109"/>
        <w:gridCol w:w="109"/>
        <w:gridCol w:w="109"/>
        <w:gridCol w:w="211"/>
        <w:gridCol w:w="826"/>
        <w:gridCol w:w="155"/>
      </w:tblGrid>
      <w:tr>
        <w:trPr/>
        <w:tc>
          <w:tcPr>
            <w:tcW w:w="7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75,404,996 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the settlement of equity awards, net of settlement proceeds received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76,418,660 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661,479 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4"/>
        <w:gridCol w:w="421"/>
        <w:gridCol w:w="42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109"/>
        <w:gridCol w:w="109"/>
        <w:gridCol w:w="211"/>
        <w:gridCol w:w="847"/>
        <w:gridCol w:w="109"/>
        <w:gridCol w:w="109"/>
        <w:gridCol w:w="109"/>
        <w:gridCol w:w="109"/>
        <w:gridCol w:w="376"/>
        <w:gridCol w:w="644"/>
        <w:gridCol w:w="196"/>
        <w:gridCol w:w="109"/>
        <w:gridCol w:w="109"/>
        <w:gridCol w:w="109"/>
        <w:gridCol w:w="211"/>
        <w:gridCol w:w="826"/>
        <w:gridCol w:w="156"/>
      </w:tblGrid>
      <w:tr>
        <w:trPr/>
        <w:tc>
          <w:tcPr>
            <w:tcW w:w="7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68,155,830 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69,440,062 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534,679 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805"/>
        <w:gridCol w:w="2411"/>
        <w:gridCol w:w="2428"/>
        <w:gridCol w:w="211"/>
        <w:gridCol w:w="826"/>
        <w:gridCol w:w="109"/>
        <w:gridCol w:w="109"/>
        <w:gridCol w:w="109"/>
        <w:gridCol w:w="109"/>
        <w:gridCol w:w="211"/>
        <w:gridCol w:w="721"/>
        <w:gridCol w:w="156"/>
      </w:tblGrid>
      <w:tr>
        <w:trPr/>
        <w:tc>
          <w:tcPr>
            <w:tcW w:w="280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amounts capitalized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related to tax withholdings on restricted stock settlements and the exercise of stock options and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tbl>
      <w:tblPr>
        <w:tblW w:w="8889" w:type="dxa"/>
        <w:jc w:val="left"/>
        <w:tblInd w:w="0" w:type="dxa"/>
        <w:tblLayout w:type="fixed"/>
        <w:tblCellMar>
          <w:top w:w="28" w:type="dxa"/>
          <w:left w:w="28" w:type="dxa"/>
          <w:bottom w:w="28" w:type="dxa"/>
          <w:right w:w="28" w:type="dxa"/>
        </w:tblCellMar>
      </w:tblPr>
      <w:tblGrid>
        <w:gridCol w:w="2576"/>
        <w:gridCol w:w="2263"/>
        <w:gridCol w:w="2271"/>
        <w:gridCol w:w="211"/>
        <w:gridCol w:w="406"/>
        <w:gridCol w:w="109"/>
        <w:gridCol w:w="109"/>
        <w:gridCol w:w="109"/>
        <w:gridCol w:w="109"/>
        <w:gridCol w:w="211"/>
        <w:gridCol w:w="361"/>
        <w:gridCol w:w="154"/>
      </w:tblGrid>
      <w:tr>
        <w:trPr/>
        <w:tc>
          <w:tcPr>
            <w:tcW w:w="2576"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the measurement of operating lease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connection with acquisition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included within accrued expenses and other current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in internally developed software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cash, cash equivalents, and restricted cash reported within the condensed consolidated statements of cash flows shown above:</w:t>
      </w:r>
    </w:p>
    <w:tbl>
      <w:tblPr>
        <w:tblW w:w="6848" w:type="dxa"/>
        <w:jc w:val="left"/>
        <w:tblInd w:w="0" w:type="dxa"/>
        <w:tblLayout w:type="fixed"/>
        <w:tblCellMar>
          <w:top w:w="28" w:type="dxa"/>
          <w:left w:w="28" w:type="dxa"/>
          <w:bottom w:w="28" w:type="dxa"/>
          <w:right w:w="28" w:type="dxa"/>
        </w:tblCellMar>
      </w:tblPr>
      <w:tblGrid>
        <w:gridCol w:w="1554"/>
        <w:gridCol w:w="1364"/>
        <w:gridCol w:w="1371"/>
        <w:gridCol w:w="211"/>
        <w:gridCol w:w="826"/>
        <w:gridCol w:w="109"/>
        <w:gridCol w:w="109"/>
        <w:gridCol w:w="109"/>
        <w:gridCol w:w="109"/>
        <w:gridCol w:w="211"/>
        <w:gridCol w:w="721"/>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 Nature of Business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Life360 mobile application, the Company also offers hardware tracking devices through the sale of Tile, Inc. (“Tile”) and Jio, Inc. (“Jiobit”) products to keep members close to the people, pets and things they care about most.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Initial Public Offering (“U.S. IPO”)</w:t>
      </w:r>
    </w:p>
    <w:p>
      <w:pPr>
        <w:pStyle w:val="TextBody"/>
        <w:bidi w:val="0"/>
        <w:spacing w:lineRule="auto" w:line="288" w:before="120" w:after="283"/>
        <w:jc w:val="both"/>
        <w:rPr/>
      </w:pPr>
      <w:r>
        <w:rPr>
          <w:rFonts w:ascii="Times New Roman;sans-serif" w:hAnsi="Times New Roman;sans-serif"/>
          <w:b w:val="false"/>
          <w:color w:val="000000"/>
          <w:sz w:val="20"/>
        </w:rPr>
        <w:t>On June 6, 2024, the Company completed its U.S. IPO and began trading on the Nasdaq Global Select Market under the trading symbol “LIF”. The Company issued and sold 3,703,704 shares of common stock</w:t>
      </w:r>
      <w:r>
        <w:rPr>
          <w:color w:val="000000"/>
        </w:rPr>
        <w:t xml:space="preserve"> </w:t>
      </w:r>
      <w:r>
        <w:rPr>
          <w:rFonts w:ascii="Times New Roman;sans-serif" w:hAnsi="Times New Roman;sans-serif"/>
          <w:b w:val="false"/>
          <w:color w:val="000000"/>
          <w:sz w:val="20"/>
        </w:rPr>
        <w:t>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The Company did not receive any proceeds from the sale of shares of common stock by the selling securityholders.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U.S. IPO, the Company restated its certificate of incorporation to increase the authorized number of shares of its common stock from 100,000,000 shares to 500,000,000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below are select significant accounting policies. Refer to Note 2, "Summary of Significant Accounting Policies" in the Company’s Annual Report for a full list of the Company’s significant accounting policies.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 for interim reporting. As permitted under those rules, certain footnotes or other financial information that are normally required by GAAP can be condensed or omitted.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2024, included herein, was derived from the audited financial statements as of that date. In the opinion of the Company’s management, the condensed consolidated financial statements reflect all normal recurring adjustments necessary to provide a fair presentation of the Company’s financial position, results of operations, stockholders’ equity, and cash flows for the interim periods presented. Operating results for these interim periods are not necessarily indicative of the Company’s future results of operations.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allowance for credit losses and product returns;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promotional and marketing allowances;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inventory valuation;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average useful customer life;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valuation of stock-based awards;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achievement of performance-based restricted stock units (“PRSUs”);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legal contingencies;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impairment of long-lived assets and goodwill;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valuation of non-cash consideration, contingent consideration, convertible notes and embedded derivatives;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useful lives of long-lived assets;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income taxes including valuation allowances on deferred tax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and judgments on historical experience and on various assumptions that it believes are reasonable under the circumstances. Actual results could differ significantly from those estimates.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lineRule="auto" w:line="288" w:before="120" w:after="283"/>
        <w:jc w:val="both"/>
        <w:rPr/>
      </w:pPr>
      <w:r>
        <w:rPr>
          <w:rFonts w:ascii="Times New Roman;sans-serif" w:hAnsi="Times New Roman;sans-serif"/>
          <w:b w:val="false"/>
          <w:color w:val="000000"/>
          <w:sz w:val="20"/>
        </w:rPr>
        <w:t xml:space="preserve">In November 2024, the Financial Accounting Standards Board (“FASB”) issued Accounting Standards Update (“ASU”) 2024-03, </w:t>
      </w:r>
      <w:r>
        <w:rPr>
          <w:rFonts w:ascii="Times New Roman;sans-serif" w:hAnsi="Times New Roman;sans-serif"/>
          <w:b w:val="false"/>
          <w:i/>
          <w:color w:val="000000"/>
          <w:sz w:val="20"/>
        </w:rPr>
        <w:t>Income Statement - Reporting Comprehensive Income - Expense Disaggregation (Subtopic 220-40): Disaggregation of Income Statement Expenses</w:t>
      </w:r>
      <w:r>
        <w:rPr>
          <w:rFonts w:ascii="Times New Roman;sans-serif" w:hAnsi="Times New Roman;sans-serif"/>
          <w:b w:val="false"/>
          <w:color w:val="000000"/>
          <w:sz w:val="20"/>
        </w:rPr>
        <w:t>. The ASU requires the disclosure of 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pStyle w:val="TextBody"/>
        <w:bidi w:val="0"/>
        <w:spacing w:lineRule="auto" w:line="288" w:before="240" w:after="283"/>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Major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primarily consist of individual consumers, who subscribe to the Company’s product offerings through its third-party platforms (each a “Channel Partner”),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the Company’s results of operations and financial condition.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information about the Company’s Channel Partners that processed the Company’s overall revenue transactions and retail partners who represented greater than 10% of the Company’s revenue or accounts receivable, respectively:</w:t>
      </w:r>
    </w:p>
    <w:tbl>
      <w:tblPr>
        <w:tblW w:w="5068" w:type="dxa"/>
        <w:jc w:val="left"/>
        <w:tblInd w:w="0" w:type="dxa"/>
        <w:tblLayout w:type="fixed"/>
        <w:tblCellMar>
          <w:top w:w="28" w:type="dxa"/>
          <w:left w:w="28" w:type="dxa"/>
          <w:bottom w:w="28" w:type="dxa"/>
          <w:right w:w="28" w:type="dxa"/>
        </w:tblCellMar>
      </w:tblPr>
      <w:tblGrid>
        <w:gridCol w:w="794"/>
        <w:gridCol w:w="696"/>
        <w:gridCol w:w="699"/>
        <w:gridCol w:w="199"/>
        <w:gridCol w:w="199"/>
        <w:gridCol w:w="497"/>
        <w:gridCol w:w="199"/>
        <w:gridCol w:w="199"/>
        <w:gridCol w:w="199"/>
        <w:gridCol w:w="199"/>
        <w:gridCol w:w="199"/>
        <w:gridCol w:w="508"/>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86" w:type="dxa"/>
        <w:jc w:val="left"/>
        <w:tblInd w:w="0" w:type="dxa"/>
        <w:tblLayout w:type="fixed"/>
        <w:tblCellMar>
          <w:top w:w="28" w:type="dxa"/>
          <w:left w:w="28" w:type="dxa"/>
          <w:bottom w:w="28" w:type="dxa"/>
          <w:right w:w="28" w:type="dxa"/>
        </w:tblCellMar>
      </w:tblPr>
      <w:tblGrid>
        <w:gridCol w:w="794"/>
        <w:gridCol w:w="696"/>
        <w:gridCol w:w="699"/>
        <w:gridCol w:w="284"/>
        <w:gridCol w:w="284"/>
        <w:gridCol w:w="707"/>
        <w:gridCol w:w="254"/>
        <w:gridCol w:w="254"/>
        <w:gridCol w:w="254"/>
        <w:gridCol w:w="318"/>
        <w:gridCol w:w="318"/>
        <w:gridCol w:w="92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(Apple)</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(Google)</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Supplier Concentration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restricted cash, noncurrent balance of $1.5 million and $1.2 million as of March 31, 2025 and December 31, 2024, respectively, relates to cash deposits restricted under letters of credit issued on behalf of the Company in support of indebtedness to trade creditors incurred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3. Segment and Geographic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condensed consolidated financial statements, that is regularly provided to the CODM. The allocation of resources and assessment of performance of the operating segment is based on consolidated net income (loss) and functional expenses as reported on our condensed consolidated statements of operations and comprehensive income (loss). Because the Company operates as one operating segment, financial segment information, including expense and asset information, can be found in the condensed consolidated financial statements. All material long-lived assets are based in the United States.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geography is generally based on the address of the customer as defined in the contract with the customer. The following table sets forth revenue by geographic region for the periods presented (in thousands):</w:t>
      </w:r>
    </w:p>
    <w:tbl>
      <w:tblPr>
        <w:tblW w:w="5665" w:type="dxa"/>
        <w:jc w:val="left"/>
        <w:tblInd w:w="0" w:type="dxa"/>
        <w:tblLayout w:type="fixed"/>
        <w:tblCellMar>
          <w:top w:w="28" w:type="dxa"/>
          <w:left w:w="28" w:type="dxa"/>
          <w:bottom w:w="28" w:type="dxa"/>
          <w:right w:w="28" w:type="dxa"/>
        </w:tblCellMar>
      </w:tblPr>
      <w:tblGrid>
        <w:gridCol w:w="966"/>
        <w:gridCol w:w="849"/>
        <w:gridCol w:w="855"/>
        <w:gridCol w:w="211"/>
        <w:gridCol w:w="826"/>
        <w:gridCol w:w="109"/>
        <w:gridCol w:w="109"/>
        <w:gridCol w:w="109"/>
        <w:gridCol w:w="109"/>
        <w:gridCol w:w="211"/>
        <w:gridCol w:w="721"/>
        <w:gridCol w:w="109"/>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in the United States were $89.3 million, or 86%, of total revenue for the three months ended March 31, 2025 and $68.9 million, or 88%, of total revenue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and the remaining portion is recorded as deferred revenue, noncurrent on the condensed consolidated balance sheets.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recognized revenue of $23.0 million that was included in the deferred revenue balance at December 31, 2024. During the three months ended March 31, 2024, the Company recognized revenue of $18.4 million that was included in the deferred revenue balance at December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expected to be recognized in connection with remaining performance obligations was $215.0 million as of March 31, 2025, of which the Company expects 39%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three levels of inputs which may be used to measure fair value are as follows: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prepaid expenses, accounts receivable, and accounts payable approximate fair value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assets and liabilities at fair value on a recurring basis. The fair value of these assets and liabilities as of March 31, 2025 and December 31, 2024 are classified as follows (in thousands):</w:t>
      </w:r>
    </w:p>
    <w:tbl>
      <w:tblPr>
        <w:tblW w:w="6570" w:type="dxa"/>
        <w:jc w:val="left"/>
        <w:tblInd w:w="0" w:type="dxa"/>
        <w:tblLayout w:type="fixed"/>
        <w:tblCellMar>
          <w:top w:w="28" w:type="dxa"/>
          <w:left w:w="28" w:type="dxa"/>
          <w:bottom w:w="28" w:type="dxa"/>
          <w:right w:w="28" w:type="dxa"/>
        </w:tblCellMar>
      </w:tblPr>
      <w:tblGrid>
        <w:gridCol w:w="650"/>
        <w:gridCol w:w="571"/>
        <w:gridCol w:w="579"/>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666"/>
        <w:gridCol w:w="585"/>
        <w:gridCol w:w="593"/>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Level 3 instruments were as follows (in thousands):</w:t>
      </w:r>
    </w:p>
    <w:tbl>
      <w:tblPr>
        <w:tblW w:w="7958" w:type="dxa"/>
        <w:jc w:val="left"/>
        <w:tblInd w:w="0" w:type="dxa"/>
        <w:tblLayout w:type="fixed"/>
        <w:tblCellMar>
          <w:top w:w="28" w:type="dxa"/>
          <w:left w:w="28" w:type="dxa"/>
          <w:bottom w:w="28" w:type="dxa"/>
          <w:right w:w="28" w:type="dxa"/>
        </w:tblCellMar>
      </w:tblPr>
      <w:tblGrid>
        <w:gridCol w:w="1993"/>
        <w:gridCol w:w="1752"/>
        <w:gridCol w:w="1760"/>
        <w:gridCol w:w="211"/>
        <w:gridCol w:w="691"/>
        <w:gridCol w:w="109"/>
        <w:gridCol w:w="109"/>
        <w:gridCol w:w="109"/>
        <w:gridCol w:w="109"/>
        <w:gridCol w:w="216"/>
        <w:gridCol w:w="632"/>
        <w:gridCol w:w="113"/>
        <w:gridCol w:w="154"/>
      </w:tblGrid>
      <w:tr>
        <w:trPr/>
        <w:tc>
          <w:tcPr>
            <w:tcW w:w="1993"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c>
          <w:tcPr>
            <w:tcW w:w="154" w:type="dxa"/>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September 2021 Convertible Notes upon conversion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September 2021 Convertible Notes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settlement of derivative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 recorded no gain or loss associated with the change in fair value of the derivative liability and convertible notes. For the three months ended March 31, 2024, the Company recorded losses associated with the change in fair value of the derivative liability and convertible notes of $1.7 million and $0.6 million, respectively. The amounts have been recorded in other income (expense), net in the condensed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Business Combinations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2025, the Company entered into an Asset Purchase Agreement with Fantix, Inc., to purchase certain assets of Fantix, Inc. for total consideration of $4.5 million, consisting of $3.5 million in cash and $1.0 million in common stock. Of the $3.5 million in cash consideration, $2.8 million was paid at closing and $0.7 million, which is payable one year from the closing date, has been recorded in accrued expenses and other current liabilities on the Company’s condensed consolidated balance sheet. The transaction has been accounted for as a business combination.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recorded $3.6 million to intangible assets, net and $0.9 million to goodwill. Goodwill represents the excess of the purchase price over the fair value of net assets acquired and reflects benefits from assets not individually identifiable, including anticipated synergies and growth opportunities. The goodwill is not deductible for tax purposes.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presented the pro forma results of operations for the acquisition as the impact is not material to the Company’s condensed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consists of the following (in thousands):</w:t>
      </w:r>
    </w:p>
    <w:tbl>
      <w:tblPr>
        <w:tblW w:w="5711" w:type="dxa"/>
        <w:jc w:val="left"/>
        <w:tblInd w:w="0" w:type="dxa"/>
        <w:tblLayout w:type="fixed"/>
        <w:tblCellMar>
          <w:top w:w="28" w:type="dxa"/>
          <w:left w:w="28" w:type="dxa"/>
          <w:bottom w:w="28" w:type="dxa"/>
          <w:right w:w="28" w:type="dxa"/>
        </w:tblCellMar>
      </w:tblPr>
      <w:tblGrid>
        <w:gridCol w:w="924"/>
        <w:gridCol w:w="811"/>
        <w:gridCol w:w="815"/>
        <w:gridCol w:w="258"/>
        <w:gridCol w:w="883"/>
        <w:gridCol w:w="133"/>
        <w:gridCol w:w="109"/>
        <w:gridCol w:w="109"/>
        <w:gridCol w:w="109"/>
        <w:gridCol w:w="303"/>
        <w:gridCol w:w="1036"/>
        <w:gridCol w:w="22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is presented net of the allowance for credit losses, which represents management’s estimate of expected credit losses based on historical trends, current economic conditions, and other relevant factors as of March 31, 2025 and December 31, 2024, respectively.</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tbl>
      <w:tblPr>
        <w:tblW w:w="4556" w:type="dxa"/>
        <w:jc w:val="left"/>
        <w:tblInd w:w="0" w:type="dxa"/>
        <w:tblLayout w:type="fixed"/>
        <w:tblCellMar>
          <w:top w:w="28" w:type="dxa"/>
          <w:left w:w="28" w:type="dxa"/>
          <w:bottom w:w="28" w:type="dxa"/>
          <w:right w:w="28" w:type="dxa"/>
        </w:tblCellMar>
      </w:tblPr>
      <w:tblGrid>
        <w:gridCol w:w="505"/>
        <w:gridCol w:w="443"/>
        <w:gridCol w:w="447"/>
        <w:gridCol w:w="287"/>
        <w:gridCol w:w="839"/>
        <w:gridCol w:w="148"/>
        <w:gridCol w:w="109"/>
        <w:gridCol w:w="109"/>
        <w:gridCol w:w="109"/>
        <w:gridCol w:w="335"/>
        <w:gridCol w:w="980"/>
        <w:gridCol w:w="245"/>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7090" w:type="dxa"/>
        <w:jc w:val="left"/>
        <w:tblInd w:w="0" w:type="dxa"/>
        <w:tblLayout w:type="fixed"/>
        <w:tblCellMar>
          <w:top w:w="28" w:type="dxa"/>
          <w:left w:w="28" w:type="dxa"/>
          <w:bottom w:w="28" w:type="dxa"/>
          <w:right w:w="28" w:type="dxa"/>
        </w:tblCellMar>
      </w:tblPr>
      <w:tblGrid>
        <w:gridCol w:w="1423"/>
        <w:gridCol w:w="1248"/>
        <w:gridCol w:w="1258"/>
        <w:gridCol w:w="258"/>
        <w:gridCol w:w="883"/>
        <w:gridCol w:w="133"/>
        <w:gridCol w:w="109"/>
        <w:gridCol w:w="109"/>
        <w:gridCol w:w="109"/>
        <w:gridCol w:w="303"/>
        <w:gridCol w:w="1036"/>
        <w:gridCol w:w="22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Prepaid expenses primarily consist of certain cloud platform costs, customer service program costs and prepaid advertising. Other receivables primarily consist of freight, refunds owed to the Company and other amounts which the Company is expected to receive in less than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(in thousands):</w:t>
      </w:r>
    </w:p>
    <w:tbl>
      <w:tblPr>
        <w:tblW w:w="6325" w:type="dxa"/>
        <w:jc w:val="left"/>
        <w:tblInd w:w="0" w:type="dxa"/>
        <w:tblLayout w:type="fixed"/>
        <w:tblCellMar>
          <w:top w:w="28" w:type="dxa"/>
          <w:left w:w="28" w:type="dxa"/>
          <w:bottom w:w="28" w:type="dxa"/>
          <w:right w:w="28" w:type="dxa"/>
        </w:tblCellMar>
      </w:tblPr>
      <w:tblGrid>
        <w:gridCol w:w="1146"/>
        <w:gridCol w:w="1005"/>
        <w:gridCol w:w="1013"/>
        <w:gridCol w:w="287"/>
        <w:gridCol w:w="839"/>
        <w:gridCol w:w="148"/>
        <w:gridCol w:w="109"/>
        <w:gridCol w:w="109"/>
        <w:gridCol w:w="109"/>
        <w:gridCol w:w="335"/>
        <w:gridCol w:w="980"/>
        <w:gridCol w:w="245"/>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relates to certain costs incurred with production manufacturing equipment.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$95 thousand and $46 thousand for the three months ended March 31, 2025 and 2024,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impairment of property and equipment or long-lived assets recognized during the three months ended March 31, 2025 or 2024. </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Prepaid Expenses and Other Assets, noncurrent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 consist of the following (in thousands):</w:t>
      </w:r>
    </w:p>
    <w:tbl>
      <w:tblPr>
        <w:tblW w:w="7450" w:type="dxa"/>
        <w:jc w:val="left"/>
        <w:tblInd w:w="0" w:type="dxa"/>
        <w:tblLayout w:type="fixed"/>
        <w:tblCellMar>
          <w:top w:w="28" w:type="dxa"/>
          <w:left w:w="28" w:type="dxa"/>
          <w:bottom w:w="28" w:type="dxa"/>
          <w:right w:w="28" w:type="dxa"/>
        </w:tblCellMar>
      </w:tblPr>
      <w:tblGrid>
        <w:gridCol w:w="1552"/>
        <w:gridCol w:w="1366"/>
        <w:gridCol w:w="1371"/>
        <w:gridCol w:w="258"/>
        <w:gridCol w:w="883"/>
        <w:gridCol w:w="133"/>
        <w:gridCol w:w="109"/>
        <w:gridCol w:w="109"/>
        <w:gridCol w:w="109"/>
        <w:gridCol w:w="303"/>
        <w:gridCol w:w="1036"/>
        <w:gridCol w:w="221"/>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noncurrent primarily consist of cloud platform costs as of March 31, 2025 and December 31, 2024. Investments relate to a warrant to purchase shares of preferred stock of a current Data Revenue Partner, a warrant to purchase shares of common stock of a current Related Party (the “Related Party Warrant”), and a Simple Agreement for Future Equity with a related party (the “Related Party SAFE”) as of March 31, 2025 and December 31, 2024. Refer to Note 13, "Related-Party Transactions" for additional information.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under a non-cancelable operating lease with a remaining lease term of 1.7 years, which includes the option to extend the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finance leases as of March 31, 2025 or December 31, 2024.</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(in thousands):</w:t>
      </w:r>
    </w:p>
    <w:tbl>
      <w:tblPr>
        <w:tblW w:w="4841" w:type="dxa"/>
        <w:jc w:val="left"/>
        <w:tblInd w:w="0" w:type="dxa"/>
        <w:tblLayout w:type="fixed"/>
        <w:tblCellMar>
          <w:top w:w="28" w:type="dxa"/>
          <w:left w:w="28" w:type="dxa"/>
          <w:bottom w:w="28" w:type="dxa"/>
          <w:right w:w="28" w:type="dxa"/>
        </w:tblCellMar>
      </w:tblPr>
      <w:tblGrid>
        <w:gridCol w:w="711"/>
        <w:gridCol w:w="625"/>
        <w:gridCol w:w="629"/>
        <w:gridCol w:w="266"/>
        <w:gridCol w:w="589"/>
        <w:gridCol w:w="137"/>
        <w:gridCol w:w="137"/>
        <w:gridCol w:w="137"/>
        <w:gridCol w:w="137"/>
        <w:gridCol w:w="266"/>
        <w:gridCol w:w="589"/>
        <w:gridCol w:w="137"/>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Amounts include short-term leases, which are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05"/>
        <w:gridCol w:w="2253"/>
        <w:gridCol w:w="2267"/>
        <w:gridCol w:w="332"/>
        <w:gridCol w:w="735"/>
        <w:gridCol w:w="171"/>
        <w:gridCol w:w="109"/>
        <w:gridCol w:w="109"/>
        <w:gridCol w:w="109"/>
        <w:gridCol w:w="383"/>
        <w:gridCol w:w="846"/>
        <w:gridCol w:w="286"/>
      </w:tblGrid>
      <w:tr>
        <w:trPr/>
        <w:tc>
          <w:tcPr>
            <w:tcW w:w="260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(included in 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 for each period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the Company’s operating lease liability, which does not include short-term leases, as of March 31, 2025 were as follows (in thousands):</w:t>
      </w:r>
    </w:p>
    <w:tbl>
      <w:tblPr>
        <w:tblW w:w="4531" w:type="dxa"/>
        <w:jc w:val="left"/>
        <w:tblInd w:w="0" w:type="dxa"/>
        <w:tblLayout w:type="fixed"/>
        <w:tblCellMar>
          <w:top w:w="28" w:type="dxa"/>
          <w:left w:w="28" w:type="dxa"/>
          <w:bottom w:w="28" w:type="dxa"/>
          <w:right w:w="28" w:type="dxa"/>
        </w:tblCellMar>
      </w:tblPr>
      <w:tblGrid>
        <w:gridCol w:w="1151"/>
        <w:gridCol w:w="1011"/>
        <w:gridCol w:w="1018"/>
        <w:gridCol w:w="343"/>
        <w:gridCol w:w="757"/>
        <w:gridCol w:w="25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and Intangible Assets, net</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Intangible assets, net consists of the fol</w:t>
      </w:r>
      <w:r>
        <w:rPr>
          <w:rFonts w:ascii="Times New Roman;sans-serif" w:hAnsi="Times New Roman;sans-serif"/>
          <w:b w:val="false"/>
          <w:color w:val="000000"/>
          <w:sz w:val="20"/>
        </w:rPr>
        <w:t>lowing (in thousands):</w:t>
      </w:r>
    </w:p>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85" w:type="dxa"/>
        <w:jc w:val="left"/>
        <w:tblInd w:w="0" w:type="dxa"/>
        <w:tblLayout w:type="fixed"/>
        <w:tblCellMar>
          <w:top w:w="28" w:type="dxa"/>
          <w:left w:w="28" w:type="dxa"/>
          <w:bottom w:w="28" w:type="dxa"/>
          <w:right w:w="28" w:type="dxa"/>
        </w:tblCellMar>
      </w:tblPr>
      <w:tblGrid>
        <w:gridCol w:w="913"/>
        <w:gridCol w:w="803"/>
        <w:gridCol w:w="818"/>
        <w:gridCol w:w="211"/>
        <w:gridCol w:w="721"/>
        <w:gridCol w:w="109"/>
        <w:gridCol w:w="109"/>
        <w:gridCol w:w="109"/>
        <w:gridCol w:w="109"/>
        <w:gridCol w:w="391"/>
        <w:gridCol w:w="1477"/>
        <w:gridCol w:w="202"/>
        <w:gridCol w:w="109"/>
        <w:gridCol w:w="109"/>
        <w:gridCol w:w="109"/>
        <w:gridCol w:w="211"/>
        <w:gridCol w:w="72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and 2024, the Company capitalized $1.7 million and $1.1 million, respectively, in internally developed software. </w: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amortization expense was $2.8 million and $2.2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there was no impairment of intangible assets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estimated remaining amortization expense for intangible assets by fiscal year is as follows (in thousands):</w:t>
      </w:r>
    </w:p>
    <w:tbl>
      <w:tblPr>
        <w:tblW w:w="5061" w:type="dxa"/>
        <w:jc w:val="left"/>
        <w:tblInd w:w="0" w:type="dxa"/>
        <w:tblLayout w:type="fixed"/>
        <w:tblCellMar>
          <w:top w:w="28" w:type="dxa"/>
          <w:left w:w="28" w:type="dxa"/>
          <w:bottom w:w="28" w:type="dxa"/>
          <w:right w:w="28" w:type="dxa"/>
        </w:tblCellMar>
      </w:tblPr>
      <w:tblGrid>
        <w:gridCol w:w="1439"/>
        <w:gridCol w:w="1263"/>
        <w:gridCol w:w="1273"/>
        <w:gridCol w:w="211"/>
        <w:gridCol w:w="721"/>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not yet in service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excluding internally developed software projects that were not yet in service, are as follows:</w:t>
      </w:r>
    </w:p>
    <w:tbl>
      <w:tblPr>
        <w:tblW w:w="6376" w:type="dxa"/>
        <w:jc w:val="left"/>
        <w:tblInd w:w="0" w:type="dxa"/>
        <w:tblLayout w:type="fixed"/>
        <w:tblCellMar>
          <w:top w:w="28" w:type="dxa"/>
          <w:left w:w="28" w:type="dxa"/>
          <w:bottom w:w="28" w:type="dxa"/>
          <w:right w:w="28" w:type="dxa"/>
        </w:tblCellMar>
      </w:tblPr>
      <w:tblGrid>
        <w:gridCol w:w="913"/>
        <w:gridCol w:w="803"/>
        <w:gridCol w:w="818"/>
        <w:gridCol w:w="425"/>
        <w:gridCol w:w="425"/>
        <w:gridCol w:w="425"/>
        <w:gridCol w:w="336"/>
        <w:gridCol w:w="336"/>
        <w:gridCol w:w="336"/>
        <w:gridCol w:w="456"/>
        <w:gridCol w:w="456"/>
        <w:gridCol w:w="647"/>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 years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 years</w:t>
            </w:r>
          </w:p>
        </w:tc>
      </w:tr>
    </w:tbl>
    <w:p>
      <w:pPr>
        <w:pStyle w:val="TextBody"/>
        <w:bidi w:val="0"/>
        <w:spacing w:lineRule="auto" w:line="288" w:before="240" w:after="283"/>
        <w:jc w:val="both"/>
        <w:rPr/>
      </w:pPr>
      <w:r>
        <w:rPr>
          <w:rFonts w:ascii="Times New Roman;sans-serif" w:hAnsi="Times New Roman;sans-serif"/>
          <w:b w:val="false"/>
          <w:color w:val="000000"/>
          <w:sz w:val="20"/>
        </w:rPr>
        <w:t>As of March 31, 2025 and December 31, 2024, goodwill was $134.6 million and $133.7 million, respectively. Goodwill increased $0.9 million in connection with the Fantix, Inc. acquisition. Refer to Note 6, "Business Combinations"</w:t>
      </w:r>
      <w:r>
        <w:rPr>
          <w:color w:val="000000"/>
        </w:rPr>
        <w:t xml:space="preserve"> </w:t>
      </w:r>
      <w:r>
        <w:rPr>
          <w:rFonts w:ascii="Times New Roman;sans-serif" w:hAnsi="Times New Roman;sans-serif"/>
          <w:b w:val="false"/>
          <w:color w:val="000000"/>
          <w:sz w:val="20"/>
        </w:rPr>
        <w:t>for additional information. No goodwill impairment was recorded during the three months ended March 31, 2025 or 2024.</w:t>
      </w:r>
    </w:p>
    <w:p>
      <w:pPr>
        <w:pStyle w:val="TextBody"/>
        <w:bidi w:val="0"/>
        <w:spacing w:lineRule="auto" w:line="288" w:before="30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7421" w:type="dxa"/>
        <w:jc w:val="left"/>
        <w:tblInd w:w="0" w:type="dxa"/>
        <w:tblLayout w:type="fixed"/>
        <w:tblCellMar>
          <w:top w:w="28" w:type="dxa"/>
          <w:left w:w="28" w:type="dxa"/>
          <w:bottom w:w="28" w:type="dxa"/>
          <w:right w:w="28" w:type="dxa"/>
        </w:tblCellMar>
      </w:tblPr>
      <w:tblGrid>
        <w:gridCol w:w="1543"/>
        <w:gridCol w:w="1353"/>
        <w:gridCol w:w="1364"/>
        <w:gridCol w:w="258"/>
        <w:gridCol w:w="883"/>
        <w:gridCol w:w="133"/>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other current liabilities primarily relate to the Company’s operating lease liability, sales taxes payable, and a deferred purchase price liability related to the Fantix, Inc. acquisition. As of December 31, 2024, other current liabilities primarily relate to the Company’s operating lease liability and sales taxes payable.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contractual commitments with our cloud platform provider and contract manufacturer that are non-cancellable. As of March 31, 2025, future non-cancellable commitments under these arrangements were as follows (in thousands): </w:t>
      </w:r>
    </w:p>
    <w:tbl>
      <w:tblPr>
        <w:tblW w:w="3546" w:type="dxa"/>
        <w:jc w:val="left"/>
        <w:tblInd w:w="0" w:type="dxa"/>
        <w:tblLayout w:type="fixed"/>
        <w:tblCellMar>
          <w:top w:w="28" w:type="dxa"/>
          <w:left w:w="28" w:type="dxa"/>
          <w:bottom w:w="28" w:type="dxa"/>
          <w:right w:w="28" w:type="dxa"/>
        </w:tblCellMar>
      </w:tblPr>
      <w:tblGrid>
        <w:gridCol w:w="890"/>
        <w:gridCol w:w="782"/>
        <w:gridCol w:w="788"/>
        <w:gridCol w:w="211"/>
        <w:gridCol w:w="72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not incurred significant costs and has not accrued any material liabilities in the accompanying condensed consolidated financial statements as a result of its indemnification obligations.</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any such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Tile in the U.S. District Court, Northern District of California,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petition (the “Final Written Decision”), finding a majority of the claims invalid. The Final Written Decision was affirmed by the U.S. Court of Appeals for the Federal Circuit on May 13, 2022. The case is currently in trial court. The claim construction hearing took place on January 18, 2024, and on April 23, 2024, the court released its order which found 10 of the claims invalid, leaving only 2 active claims remaining. At this time, a loss is reasonably possible but not estimable, and as a result, no litigation reserve has been recorded on our condensed consolidated balance sheet as of March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14, 2023, plaintiffs Stephanie Ireland-Gordy and Shannon Ireland-Gordy filed a putative class action lawsuit against Tile, Life360, and Amazon.com, Inc. in the U.S. District Court for the Northern District of California. An amended complaint was filed on April 26, 2024, adding named plaintiffs Melissa Broad and Jane Doe. Plaintiffs allege that Tile trackers were used by third parties to monitor their movements without their consent, and assert product liability and other claims. At this time, a loss is not probable nor estimable, and as a result, no legal accrual has been recorded on our consolidated balance sheets as of March 31, 2025.</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litigation reserve was recorded on our condensed consolidated balance sheets as of March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potentially outstanding common stock reserved for issuance:</w:t>
      </w:r>
    </w:p>
    <w:tbl>
      <w:tblPr>
        <w:tblW w:w="9231" w:type="dxa"/>
        <w:jc w:val="left"/>
        <w:tblInd w:w="0" w:type="dxa"/>
        <w:tblLayout w:type="fixed"/>
        <w:tblCellMar>
          <w:top w:w="28" w:type="dxa"/>
          <w:left w:w="28" w:type="dxa"/>
          <w:bottom w:w="28" w:type="dxa"/>
          <w:right w:w="28" w:type="dxa"/>
        </w:tblCellMar>
      </w:tblPr>
      <w:tblGrid>
        <w:gridCol w:w="2055"/>
        <w:gridCol w:w="1804"/>
        <w:gridCol w:w="1811"/>
        <w:gridCol w:w="540"/>
        <w:gridCol w:w="541"/>
        <w:gridCol w:w="426"/>
        <w:gridCol w:w="109"/>
        <w:gridCol w:w="109"/>
        <w:gridCol w:w="109"/>
        <w:gridCol w:w="540"/>
        <w:gridCol w:w="541"/>
        <w:gridCol w:w="646"/>
      </w:tblGrid>
      <w:tr>
        <w:trPr/>
        <w:tc>
          <w:tcPr>
            <w:tcW w:w="205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5,326,260 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5,673,947 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7,761 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4,465,914 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5,091,601 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16,567,240 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12,815,029 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26,367,175 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23,588,338 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10.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had outstanding warrants entitling the holder thereof to purchase 7,761 shares of Company common stock with an exercise price of $6.44 and expiry date of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Equity Incentive Plan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2011 Equity Incentive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equity incentive plan allows the Company to grant restricted stock units (“RSUs”, which includes PRSUs), restricted stock, and stock options to employees and consultants of the Company and any of the Company’s parent, subsidiaries, or affiliates, and to the members of the Board of Directors.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stock option activity for the periods presented is as follows (in thousands, except share and per share data):</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15"/>
        <w:gridCol w:w="843"/>
        <w:gridCol w:w="158"/>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5,673,947 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5,326,260 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2025</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5,040,826 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total unrecognized compensation cost for outstanding stock options of $1.6 million to be recognized over a period of approximately 0.8 years.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grant any new PRSUs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RSU activity for the periods presented is as follows:</w:t>
      </w:r>
    </w:p>
    <w:tbl>
      <w:tblPr>
        <w:tblW w:w="5809" w:type="dxa"/>
        <w:jc w:val="left"/>
        <w:tblInd w:w="0" w:type="dxa"/>
        <w:tblLayout w:type="fixed"/>
        <w:tblCellMar>
          <w:top w:w="28" w:type="dxa"/>
          <w:left w:w="28" w:type="dxa"/>
          <w:bottom w:w="28" w:type="dxa"/>
          <w:right w:w="28" w:type="dxa"/>
        </w:tblCellMar>
      </w:tblPr>
      <w:tblGrid>
        <w:gridCol w:w="1021"/>
        <w:gridCol w:w="896"/>
        <w:gridCol w:w="902"/>
        <w:gridCol w:w="488"/>
        <w:gridCol w:w="488"/>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5,091,601 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214,622 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(663,207)</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cancelled/forfeited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4,465,914 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unrecognized compensation cost for outstanding RSUs of $81.7 million to be recognized over a period of approximately 2.7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RSUs vested and settled includes shares of common stock that the Company withheld on behalf of employees to satisfy the minimum statutory tax withholding requirements.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allocated as follows (in thousands):</w:t>
      </w:r>
    </w:p>
    <w:tbl>
      <w:tblPr>
        <w:tblW w:w="7859" w:type="dxa"/>
        <w:jc w:val="left"/>
        <w:tblInd w:w="0" w:type="dxa"/>
        <w:tblLayout w:type="fixed"/>
        <w:tblCellMar>
          <w:top w:w="28" w:type="dxa"/>
          <w:left w:w="28" w:type="dxa"/>
          <w:bottom w:w="28" w:type="dxa"/>
          <w:right w:w="28" w:type="dxa"/>
        </w:tblCellMar>
      </w:tblPr>
      <w:tblGrid>
        <w:gridCol w:w="1800"/>
        <w:gridCol w:w="1586"/>
        <w:gridCol w:w="1593"/>
        <w:gridCol w:w="230"/>
        <w:gridCol w:w="672"/>
        <w:gridCol w:w="119"/>
        <w:gridCol w:w="119"/>
        <w:gridCol w:w="119"/>
        <w:gridCol w:w="119"/>
        <w:gridCol w:w="230"/>
        <w:gridCol w:w="672"/>
        <w:gridCol w:w="119"/>
        <w:gridCol w:w="109"/>
        <w:gridCol w:w="109"/>
        <w:gridCol w:w="109"/>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amounts capitalized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There was $0.3 million</w:t>
      </w:r>
      <w:r>
        <w:rPr>
          <w:color w:val="000000"/>
        </w:rPr>
        <w:t xml:space="preserve"> </w:t>
      </w:r>
      <w:r>
        <w:rPr>
          <w:rFonts w:ascii="Times New Roman;sans-serif" w:hAnsi="Times New Roman;sans-serif"/>
          <w:b w:val="false"/>
          <w:color w:val="000000"/>
          <w:sz w:val="20"/>
        </w:rPr>
        <w:t>and an immaterial amount of capitalized stock-based compensation costs recognized during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bidi w:val="0"/>
        <w:spacing w:lineRule="auto" w:line="288" w:before="120" w:after="283"/>
        <w:jc w:val="both"/>
        <w:rPr/>
      </w:pPr>
      <w:r>
        <w:rPr>
          <w:rFonts w:ascii="Times New Roman;sans-serif" w:hAnsi="Times New Roman;sans-serif"/>
          <w:b w:val="false"/>
          <w:color w:val="000000"/>
          <w:sz w:val="20"/>
        </w:rPr>
        <w:t xml:space="preserve">The provision for income taxes for interim quarterly reporting periods is based on the Company's estimates of the effective tax rates for the full fiscal year, in accordance with ASC 740-270, </w:t>
      </w:r>
      <w:r>
        <w:rPr>
          <w:rFonts w:ascii="Times New Roman;sans-serif" w:hAnsi="Times New Roman;sans-serif"/>
          <w:b w:val="false"/>
          <w:i/>
          <w:color w:val="000000"/>
          <w:sz w:val="20"/>
        </w:rPr>
        <w:t>Income Taxes, Interim Reporting</w:t>
      </w:r>
      <w:r>
        <w:rPr>
          <w:rFonts w:ascii="Times New Roman;sans-serif" w:hAnsi="Times New Roman;sans-serif"/>
          <w:b w:val="false"/>
          <w:color w:val="000000"/>
          <w:sz w:val="20"/>
        </w:rPr>
        <w:t>. ASC 740-270-25-2 requires that an annual effective tax rate be determined and such annual effective rate be applied to year to date income/loss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This is a driver for the annual estimated income tax rate used to calculate the provision for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recorded a benefit from income taxes of $0.2 million and a provision for income taxes of $1.4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Hubble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and December 2024, the Company entered into a strategic partnership and series of transactions with Hubble Network, Inc. (“Hubble”), including (i) a technology exclusivity and revenue share agreement (“Hubble Agreement”), (ii) the Related Party SAFE; and (iii) Hubble’s issuance of the Related Party Warrant. The Hubble Agreement has an initial term of 5 years beginning on November 12, 2024.</w:t>
      </w:r>
    </w:p>
    <w:p>
      <w:pPr>
        <w:pStyle w:val="TextBody"/>
        <w:bidi w:val="0"/>
        <w:spacing w:lineRule="auto" w:line="288" w:before="240" w:after="283"/>
        <w:jc w:val="both"/>
        <w:rPr/>
      </w:pPr>
      <w:r>
        <w:rPr>
          <w:rFonts w:ascii="Times New Roman;sans-serif" w:hAnsi="Times New Roman;sans-serif"/>
          <w:b w:val="false"/>
          <w:color w:val="000000"/>
          <w:sz w:val="20"/>
        </w:rPr>
        <w:t>As part of this partnership, the Company will leverage Hubble’s global satellite infrastructure to introduce a new global location-tracking network service offering. The partnership agreement includes revenue-share payments in which Hubble wil</w:t>
      </w:r>
      <w:r>
        <w:rPr>
          <w:rFonts w:ascii="Times New Roman;sans-serif" w:hAnsi="Times New Roman;sans-serif"/>
          <w:b w:val="false"/>
          <w:color w:val="000000"/>
          <w:sz w:val="20"/>
          <w:shd w:fill="FFFFFF" w:val="clear"/>
        </w:rPr>
        <w:t>l pay the Company a percentage of revenue earned from leveraging the new global location-tracking network service offering. The</w:t>
      </w:r>
      <w:r>
        <w:rPr>
          <w:color w:val="000000"/>
        </w:rPr>
        <w:t xml:space="preserve"> </w:t>
      </w:r>
      <w:r>
        <w:rPr>
          <w:rFonts w:ascii="Times New Roman;sans-serif" w:hAnsi="Times New Roman;sans-serif"/>
          <w:b w:val="false"/>
          <w:color w:val="000000"/>
          <w:sz w:val="20"/>
        </w:rPr>
        <w:t>partnership also allows Hubble to purchase Tile hardware devices at a price equal to the Company’s burdened cost of goods sold plus 12.5%.</w:t>
      </w:r>
    </w:p>
    <w:p>
      <w:pPr>
        <w:pStyle w:val="TextBody"/>
        <w:bidi w:val="0"/>
        <w:spacing w:lineRule="auto" w:line="288" w:before="240" w:after="283"/>
        <w:jc w:val="both"/>
        <w:rPr/>
      </w:pPr>
      <w:r>
        <w:rPr>
          <w:rFonts w:ascii="Times New Roman;sans-serif" w:hAnsi="Times New Roman;sans-serif"/>
          <w:b w:val="false"/>
          <w:color w:val="000000"/>
          <w:sz w:val="20"/>
        </w:rPr>
        <w:t xml:space="preserve">The grant of the Related Party Warrant was considered non-cash consideration, which the Company measured at fair value on the date of issuance. The Related Party Warrant includes various performance-based vesting conditions based on revenue and operational milestones to be measured and assessed throughout the term of the agreement. The first tranche, consisting of 2,049,191 shares, of the Related Party Warrant vested as of March 31, 2025. The warrant was valued using a Black Scholes option-pricing model, and the fair value of approximately $3.9 million is also included in prepaid expenses and other assets, noncurrent and deferred revenue on the Company’s consolidated balance sheets. The fair value of the warrant included within deferred revenue is amortized to other revenue over the life of the agreement. </w:t>
      </w:r>
      <w:r>
        <w:rPr>
          <w:rFonts w:ascii="Times New Roman;sans-serif" w:hAnsi="Times New Roman;sans-serif"/>
          <w:b w:val="false"/>
          <w:color w:val="000000"/>
          <w:sz w:val="20"/>
          <w:shd w:fill="FFFFFF" w:val="clear"/>
        </w:rPr>
        <w:t xml:space="preserve">The Company recognized </w:t>
      </w:r>
      <w:r>
        <w:rPr>
          <w:rFonts w:ascii="Times New Roman;sans-serif" w:hAnsi="Times New Roman;sans-serif"/>
          <w:b w:val="false"/>
          <w:color w:val="000000"/>
          <w:sz w:val="20"/>
        </w:rPr>
        <w:t xml:space="preserve">$0.3 million </w:t>
      </w:r>
      <w:r>
        <w:rPr>
          <w:rFonts w:ascii="Times New Roman;sans-serif" w:hAnsi="Times New Roman;sans-serif"/>
          <w:b w:val="false"/>
          <w:color w:val="000000"/>
          <w:sz w:val="20"/>
          <w:shd w:fill="FFFFFF" w:val="clear"/>
        </w:rPr>
        <w:t xml:space="preserve">in other revenue on the condensed consolidated statements of operation and comprehensive income (loss) in connection with the Related Party Warrant during the three 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14. Net Income (Loss)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is calculated by dividing net income (loss) available to common stockholders by the weighted-average number of shares of common stock outstanding for the period. Diluted net income (loss) per share reflects the potential dilution that could occur if options, RSUs, PRSUs, warrants, or other securities with features that could result in the issuance of common stock were exercised or converted to common stock using the treasury-stock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income (loss) per share (in thousands, except share and per share information):</w:t>
      </w:r>
    </w:p>
    <w:p>
      <w:pPr>
        <w:pStyle w:val="TextBody"/>
        <w:bidi w:val="0"/>
        <w:spacing w:before="0" w:after="0"/>
        <w:jc w:val="left"/>
        <w:rPr/>
      </w:pPr>
      <w:r>
        <w:rPr/>
      </w:r>
    </w:p>
    <w:tbl>
      <w:tblPr>
        <w:tblW w:w="7973" w:type="dxa"/>
        <w:jc w:val="left"/>
        <w:tblInd w:w="0" w:type="dxa"/>
        <w:tblLayout w:type="fixed"/>
        <w:tblCellMar>
          <w:top w:w="28" w:type="dxa"/>
          <w:left w:w="28" w:type="dxa"/>
          <w:bottom w:w="28" w:type="dxa"/>
          <w:right w:w="28" w:type="dxa"/>
        </w:tblCellMar>
      </w:tblPr>
      <w:tblGrid>
        <w:gridCol w:w="1731"/>
        <w:gridCol w:w="1517"/>
        <w:gridCol w:w="1537"/>
        <w:gridCol w:w="275"/>
        <w:gridCol w:w="806"/>
        <w:gridCol w:w="109"/>
        <w:gridCol w:w="109"/>
        <w:gridCol w:w="109"/>
        <w:gridCol w:w="109"/>
        <w:gridCol w:w="270"/>
        <w:gridCol w:w="811"/>
        <w:gridCol w:w="109"/>
        <w:gridCol w:w="109"/>
        <w:gridCol w:w="109"/>
        <w:gridCol w:w="109"/>
        <w:gridCol w:w="154"/>
      </w:tblGrid>
      <w:tr>
        <w:trPr/>
        <w:tc>
          <w:tcPr>
            <w:tcW w:w="173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outstanding options, RSUs and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83,445,337 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potential shares of common stock were excluded from the diluted net income (loss) per share calculation as their inclusion would have been antidilutive. Excluded shares are as follows:</w:t>
      </w:r>
    </w:p>
    <w:tbl>
      <w:tblPr>
        <w:tblW w:w="7552" w:type="dxa"/>
        <w:jc w:val="left"/>
        <w:tblInd w:w="0" w:type="dxa"/>
        <w:tblLayout w:type="fixed"/>
        <w:tblCellMar>
          <w:top w:w="28" w:type="dxa"/>
          <w:left w:w="28" w:type="dxa"/>
          <w:bottom w:w="28" w:type="dxa"/>
          <w:right w:w="28" w:type="dxa"/>
        </w:tblCellMar>
      </w:tblPr>
      <w:tblGrid>
        <w:gridCol w:w="1549"/>
        <w:gridCol w:w="1360"/>
        <w:gridCol w:w="1365"/>
        <w:gridCol w:w="413"/>
        <w:gridCol w:w="413"/>
        <w:gridCol w:w="178"/>
        <w:gridCol w:w="178"/>
        <w:gridCol w:w="178"/>
        <w:gridCol w:w="178"/>
        <w:gridCol w:w="540"/>
        <w:gridCol w:w="541"/>
        <w:gridCol w:w="178"/>
        <w:gridCol w:w="109"/>
        <w:gridCol w:w="109"/>
        <w:gridCol w:w="109"/>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 stock 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6,186,944 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95,973 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5,408,458 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conversion of convertible notes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12,017,356 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2025, the Company entered into a series of transactions with Aura Consolidated Group, Inc (“Aura”) including (i) a 3 year advertising partnership and revenue sharing agreement intended to expand the Company's other revenue channels and subscription membership offerings, and (ii) a $25 million convertible note investment by the Company into Aura.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and our Annual Report on Form 10-K for the year ended December 31, 2024, filed with the SEC on February 27, 2025 (“Annual Report”). In addition to historical financial information, the following discussion contains forward-looking statements that are based upon current plans, expectations and beliefs that involve risks and uncertainties. Our actual results could differ materially from those discussed in the forward-looking statements as a result of a variety of factors, including but not limited to those discussed in “Risk Factors” under Part II, Item 1A in this Quarterly Report and Part I, Item 1A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(“ARPPC”); expanding offerings on our platform; attracting and retaining talent; seasonality; and international expansion. We discuss each of these factors in more detail under the heading “Item 7. Management’s Discussion and Analysis of Financial Condition and Results of Operations—Key Factors Affecting Our Performance” in our Annual Report.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describes certain line items in our condensed consolidated statements of operations and comprehensive income (loss). </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direct and indirect streams. Direct revenue includes subscription and hardware revenue, while indirect revenue consists of all other revenue sources, such as data and partnership, which includes advertising.</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Subscription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Hardware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our hardware revenue from the sale of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 and through the recognition of revenue related to the Related Party Warrant.</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Gross Margin</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Subscription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increasing the capacity and enhancing the capability and reliability of our infrastructure to support member growth and increased use of our platform. We expect that cost of revenue will increase in absolute dollars in future periods.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Hardware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Other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Profit and Gross Profit Margin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gross profit has been, and may in the future be, influenced by several factors, including timing of capital expenditures and related depreciation expense, increases in infrastructure costs, component costs, tariffs, contract manufacturing and supplier pricing, and foreign currency exchange rates. Gross profit and gross profit margin may fluctuate over time based on the factors described above.</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research and development, selling and marketing, and general and administrative expenses.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and Marketing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sales and marketing expenses consist primarily of commissions to the Company’s third-party platforms (each a “Channel Partner”), personnel-related costs, brand marketing costs, lead generation costs, sales incentives, sponsorships and amortization of acquired intangibles, bad debt expense, and allocated overhead. Commission payments to Channel Partners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and Administrative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and non-income-based taxes. We expect our general and administrative expenses will increase in absolute dollars as our business grows.</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w:t>
      </w:r>
    </w:p>
    <w:p>
      <w:pPr>
        <w:pStyle w:val="TextBody"/>
        <w:bidi w:val="0"/>
        <w:spacing w:lineRule="auto" w:line="288" w:before="30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 relates to the change in the fair value of the embedded conversion and redemption features associated with the July 2021 Convertible Notes prior to their conversion to common stock in June 2024.</w:t>
      </w:r>
    </w:p>
    <w:p>
      <w:pPr>
        <w:pStyle w:val="TextBody"/>
        <w:bidi w:val="0"/>
        <w:spacing w:lineRule="auto" w:line="288" w:before="3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interest income earned on our cash and cash equivalents balances, foreign currency exchange gains/(losses) related to the remeasurement of certain assets and liabilities of our foreign subsidiaries that are denominated in currencies other than the functional currency of the subsidiary and foreign exchange transactions gains/(losses), interest expense primarily related to the Convertible Notes.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and comprehensive income (loss) for the three months ended March 31, 2025 and 2024 (in thousands, except percentages).</w:t>
      </w:r>
    </w:p>
    <w:p>
      <w:pPr>
        <w:pStyle w:val="TextBody"/>
        <w:bidi w:val="0"/>
        <w:spacing w:before="0" w:after="0"/>
        <w:jc w:val="both"/>
        <w:rPr/>
      </w:pPr>
      <w:r>
        <w:rPr/>
      </w:r>
    </w:p>
    <w:tbl>
      <w:tblPr>
        <w:tblW w:w="8657" w:type="dxa"/>
        <w:jc w:val="left"/>
        <w:tblInd w:w="0" w:type="dxa"/>
        <w:tblLayout w:type="fixed"/>
        <w:tblCellMar>
          <w:top w:w="28" w:type="dxa"/>
          <w:left w:w="28" w:type="dxa"/>
          <w:bottom w:w="28" w:type="dxa"/>
          <w:right w:w="28" w:type="dxa"/>
        </w:tblCellMar>
      </w:tblPr>
      <w:tblGrid>
        <w:gridCol w:w="1522"/>
        <w:gridCol w:w="1336"/>
        <w:gridCol w:w="1341"/>
        <w:gridCol w:w="211"/>
        <w:gridCol w:w="721"/>
        <w:gridCol w:w="109"/>
        <w:gridCol w:w="109"/>
        <w:gridCol w:w="109"/>
        <w:gridCol w:w="109"/>
        <w:gridCol w:w="211"/>
        <w:gridCol w:w="721"/>
        <w:gridCol w:w="109"/>
        <w:gridCol w:w="109"/>
        <w:gridCol w:w="109"/>
        <w:gridCol w:w="109"/>
        <w:gridCol w:w="269"/>
        <w:gridCol w:w="271"/>
        <w:gridCol w:w="483"/>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subscription revenue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hardware revenue</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other revenue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cost of revenue</w:t>
            </w:r>
            <w:r>
              <w:rPr>
                <w:rFonts w:ascii="Times New Roman;sans-serif" w:hAnsi="Times New Roman;sans-serif"/>
                <w:b w:val="false"/>
                <w:color w:val="000000"/>
                <w:sz w:val="13"/>
              </w:rPr>
              <w:t>(1)</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 (in thousands, except percentages):</w:t>
      </w:r>
    </w:p>
    <w:tbl>
      <w:tblPr>
        <w:tblW w:w="9427" w:type="dxa"/>
        <w:jc w:val="left"/>
        <w:tblInd w:w="0" w:type="dxa"/>
        <w:tblLayout w:type="fixed"/>
        <w:tblCellMar>
          <w:top w:w="28" w:type="dxa"/>
          <w:left w:w="28" w:type="dxa"/>
          <w:bottom w:w="28" w:type="dxa"/>
          <w:right w:w="28" w:type="dxa"/>
        </w:tblCellMar>
      </w:tblPr>
      <w:tblGrid>
        <w:gridCol w:w="1800"/>
        <w:gridCol w:w="1586"/>
        <w:gridCol w:w="1593"/>
        <w:gridCol w:w="230"/>
        <w:gridCol w:w="672"/>
        <w:gridCol w:w="119"/>
        <w:gridCol w:w="119"/>
        <w:gridCol w:w="119"/>
        <w:gridCol w:w="119"/>
        <w:gridCol w:w="230"/>
        <w:gridCol w:w="672"/>
        <w:gridCol w:w="119"/>
        <w:gridCol w:w="109"/>
        <w:gridCol w:w="109"/>
        <w:gridCol w:w="109"/>
        <w:gridCol w:w="269"/>
        <w:gridCol w:w="271"/>
        <w:gridCol w:w="483"/>
        <w:gridCol w:w="109"/>
        <w:gridCol w:w="109"/>
        <w:gridCol w:w="109"/>
        <w:gridCol w:w="109"/>
        <w:gridCol w:w="109"/>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net of amounts capitalized</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as a percentage of total revenue:</w:t>
      </w:r>
    </w:p>
    <w:tbl>
      <w:tblPr>
        <w:tblW w:w="7209" w:type="dxa"/>
        <w:jc w:val="left"/>
        <w:tblInd w:w="0" w:type="dxa"/>
        <w:tblLayout w:type="fixed"/>
        <w:tblCellMar>
          <w:top w:w="28" w:type="dxa"/>
          <w:left w:w="28" w:type="dxa"/>
          <w:bottom w:w="28" w:type="dxa"/>
          <w:right w:w="28" w:type="dxa"/>
        </w:tblCellMar>
      </w:tblPr>
      <w:tblGrid>
        <w:gridCol w:w="1523"/>
        <w:gridCol w:w="1337"/>
        <w:gridCol w:w="1340"/>
        <w:gridCol w:w="258"/>
        <w:gridCol w:w="208"/>
        <w:gridCol w:w="498"/>
        <w:gridCol w:w="200"/>
        <w:gridCol w:w="200"/>
        <w:gridCol w:w="200"/>
        <w:gridCol w:w="258"/>
        <w:gridCol w:w="208"/>
        <w:gridCol w:w="498"/>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tbl>
      <w:tblPr>
        <w:tblW w:w="8352"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6"/>
        <w:gridCol w:w="219"/>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$20.3 million, or 33%, during the three months ended March 31, 2025 as compared to the three months ended March 31, 2024, primarily due to a 26% growth in Paying Circles (as defined below) and a 19% growth in total subscriptions. Additionally, subscription revenue in the current period benefited from price increases for new and existing Life360 subscriptions implemented during the second half of 2024.</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revenue decreased $1.3 million, or 13%, during the three months ended March 31, 2025 as compared to the three months ended March 31, 2024. The decline was primarily driven by a $0.9 million reduction in revenue related to bundled offerings as well as a $1.2 million increase in discounts. These impacts were partially offset by a $0.7 million decrease in returns and a $0.1 million increase in gross revenue, which was driven by a higher average selling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$6.4 million, or 99%, during the three months ended March 31, 2025 as compared to the three months ended March 31, 2024, due to a $4.5 million increase in partnership revenue, which includes advertising revenue, and a $1.9 million increase in data revenue, which was primarily attributable to the Amended and Restated Data Services and License Agreement with Placer.ai we entered into in July 2024.</w:t>
      </w:r>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8324" w:type="dxa"/>
        <w:jc w:val="left"/>
        <w:tblInd w:w="0" w:type="dxa"/>
        <w:tblLayout w:type="fixed"/>
        <w:tblCellMar>
          <w:top w:w="28" w:type="dxa"/>
          <w:left w:w="28" w:type="dxa"/>
          <w:bottom w:w="28" w:type="dxa"/>
          <w:right w:w="28" w:type="dxa"/>
        </w:tblCellMar>
      </w:tblPr>
      <w:tblGrid>
        <w:gridCol w:w="911"/>
        <w:gridCol w:w="802"/>
        <w:gridCol w:w="807"/>
        <w:gridCol w:w="427"/>
        <w:gridCol w:w="338"/>
        <w:gridCol w:w="338"/>
        <w:gridCol w:w="220"/>
        <w:gridCol w:w="220"/>
        <w:gridCol w:w="220"/>
        <w:gridCol w:w="427"/>
        <w:gridCol w:w="337"/>
        <w:gridCol w:w="339"/>
        <w:gridCol w:w="109"/>
        <w:gridCol w:w="109"/>
        <w:gridCol w:w="109"/>
        <w:gridCol w:w="211"/>
        <w:gridCol w:w="337"/>
        <w:gridCol w:w="339"/>
        <w:gridCol w:w="109"/>
        <w:gridCol w:w="109"/>
        <w:gridCol w:w="109"/>
        <w:gridCol w:w="160"/>
        <w:gridCol w:w="160"/>
        <w:gridCol w:w="160"/>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10,141</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83,549</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pPr>
      <w:r>
        <w:rPr>
          <w:rFonts w:ascii="Times New Roman;sans-serif" w:hAnsi="Times New Roman;sans-serif"/>
          <w:b w:val="false"/>
          <w:color w:val="000000"/>
          <w:sz w:val="20"/>
        </w:rPr>
        <w:t>Cost of subscription revenue increased $0.8 million, or 9%, during the three months ended March 31, 2025 as compared to the three months ended March 31, 2024, primarily due to a $0.8 million</w:t>
      </w:r>
      <w:r>
        <w:rPr>
          <w:color w:val="000000"/>
        </w:rPr>
        <w:t xml:space="preserve"> </w:t>
      </w:r>
      <w:r>
        <w:rPr>
          <w:rFonts w:ascii="Times New Roman;sans-serif" w:hAnsi="Times New Roman;sans-serif"/>
          <w:b w:val="false"/>
          <w:color w:val="000000"/>
          <w:sz w:val="20"/>
        </w:rPr>
        <w:t>increase in technology and other expenses, attributable to Company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gross margin increased to 88% during the three months ended March 31, 2025 from 85% during the three months ended March 31, 2024, primarily due to price increases for new and existing Life360 subscriptions implemented during the second half of 2024.</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hardware revenue increased $0.6 million, or 7%, during the three months ended March 31, 2025 as compared to the three months ended March 31, 2024. This was primarily driven by increases of $0.7 million in inventory reserves, $0.3 million in personnel-related and stock-based compensation costs associated with Company growth, and $0.3 million in freight costs due to a shift in channel mix. These increases were partially offset by a $0.7 million decrease in hardware product costs resulting from a lower volume of units sold.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Hardware gross margin decreased to 3% during the three months ended March 31, 2025 from 21% during the three months ended March 31, 2024, primarily due to a $1.2 million increase in discounts, an increase in freight costs associated with the shift in channel mix, and an increase in fixed hardware costs in line with Company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increased by $0.5 million, or 51%, during the three months ended March 31, 2025 as compared to the three months ended March 31, 2024, due to increases of $0.3 million in technology and other related expenses to support the existing customer base and $0.2 million in costs associated with the growth in partnership revenue, which includes advertising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gross margin increased to 90% during the three months ended March 31, 2025 from 86% during the three months ended March 31, 2024, primarily due to revenue outpacing the increase in costs.</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w:t>
      </w:r>
    </w:p>
    <w:tbl>
      <w:tblPr>
        <w:tblW w:w="8068"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$3.1 million, or 12%, during the three months ended March 31, 2025 as compared to the three months ended March 31, 2024. This was primarily due to increases of $2.6 million in personnel-related and stock-based compensation costs, $1.1 million in technology costs, $0.4 million in professional and outside services spend, and $0.2 million in contractor spend. The increases were partially offset by a $0.9 million increase in capitalized construction in progress costs and a $0.3 million increase in capitalized internally developed software. </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and Marketing</w:t>
      </w:r>
    </w:p>
    <w:tbl>
      <w:tblPr>
        <w:tblW w:w="8173"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$10.6 million, or 43%, during the three months ended March 31, 2025 as compared to the three months ended March 31, 2024. This was primarily due to increases of $3.7 million in commissions to the Company’s third-party platforms and distribution channels (each a “Channel Partner”), which is in line with the increase in subscription revenue, and $3.3 million in growth media spend. Additional increases included $1.9 million in personnel-related and stock-based compensation costs, $1.0 million in other marketing spend, $0.4 million in technology costs, and $0.3 million in professional and outside services spend, all attributable to Company growth.</w:t>
      </w:r>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and Administrative</w:t>
      </w:r>
    </w:p>
    <w:tbl>
      <w:tblPr>
        <w:tblW w:w="7963"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$1.2 million, or 9%, during the three months ended March 31, 2025 as compared to the three months ended March 31, 2024. This was primarily due to increases of $1.6 million in personnel-related and stock-based compensation costs and $0.8 million in technology and other expenses, attributable to Company growth. The increases were partially offset by a decrease of $1.0 million in professional and outside services spend, primarily driven by lower Sarbanes-Oxley related compliance costs, and a $0.2 million increase in capitalized internally developed software.</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Convertible Notes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and June 2024, the September 2021 Convertible Notes and the July 2021 Convertible Notes, respectively, were converted to common stock. As a result, the Company recorded no gain or loss associated with the convertible notes fair value adjustment for the three months ended March 31, 2025. A loss of $0.6 million associated with the convertible notes fair value adjustment was recorded for the three months ended March 31, 2024.</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 Liability Fair Value Adjustment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holders of the July 2021 Convertible Notes converted their notes and accrued interest to common stock and the embedded derivative liability was settled as a result of the conversion. As such, the Company recorded no gain or loss associated with the derivative liability fair value adjustment for the three months ended March 31, 2025. A loss of $1.7 million was recorded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Other Income,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includes interest income, dividend income, foreign exchange losses, and interest expense associated with the July 2021 Convertible Notes. For the three months ended March 31, 2025, other income, net consists of $2.0 million in other income and for the three months ended March 31, 2024, consists of $0.9 million in other income and $0.6 million in other expense.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$1.7 million, or 535%, during the three months ended March 31, 2025 as compared to the three months ended March 31, 2024. This was primarily driven by a $0.9 million increase in dividend and interest income resulting from higher average gross yields primarily due to an increased cash and cash equivalents balance. In addition, a $0.4 million favorable change in the impact of currency revaluation and a $0.4 million reduction in interest expense and other costs contributed to the increase.</w:t>
      </w:r>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 increased $1.6 million during the three months ended March 31, 2025 as compared to the three months ended March 31, 2024. The changes are due to the estimated growth in the Company’s annual estimated effective tax rate in the U.S. Provision for income taxes which consists of U.S. federal and state income taxes in jurisdictions in which we conduct business. The annual estimated effective tax rate in any quarter may be subject to fluctuations during the year as new information is obtained, which may positively or negatively affect the assumptions used to estimate the annual effective tax rate. We maintain a full valuation allowance on our federal and state deferred tax assets as we have concluded that it is not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condensed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Key Operating Metrics</w:t>
      </w:r>
    </w:p>
    <w:tbl>
      <w:tblPr>
        <w:tblW w:w="8133" w:type="dxa"/>
        <w:jc w:val="left"/>
        <w:tblInd w:w="0" w:type="dxa"/>
        <w:tblLayout w:type="fixed"/>
        <w:tblCellMar>
          <w:top w:w="28" w:type="dxa"/>
          <w:left w:w="28" w:type="dxa"/>
          <w:bottom w:w="28" w:type="dxa"/>
          <w:right w:w="28" w:type="dxa"/>
        </w:tblCellMar>
      </w:tblPr>
      <w:tblGrid>
        <w:gridCol w:w="1197"/>
        <w:gridCol w:w="1056"/>
        <w:gridCol w:w="1061"/>
        <w:gridCol w:w="256"/>
        <w:gridCol w:w="875"/>
        <w:gridCol w:w="132"/>
        <w:gridCol w:w="132"/>
        <w:gridCol w:w="132"/>
        <w:gridCol w:w="132"/>
        <w:gridCol w:w="256"/>
        <w:gridCol w:w="875"/>
        <w:gridCol w:w="132"/>
        <w:gridCol w:w="109"/>
        <w:gridCol w:w="109"/>
        <w:gridCol w:w="109"/>
        <w:gridCol w:w="194"/>
        <w:gridCol w:w="194"/>
        <w:gridCol w:w="483"/>
        <w:gridCol w:w="109"/>
        <w:gridCol w:w="109"/>
        <w:gridCol w:w="109"/>
        <w:gridCol w:w="109"/>
        <w:gridCol w:w="109"/>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and for the 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1.Excludes revenue related to bundled Life360 subscription and hardware offerings of $(0.4) million for the three months ended March 31, 2025, and $(1.2) million for the three months ended March 31, 2024.</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2.Excludes revenue related to bundled Life360 subscription and hardware offerings of $0.4 million for the three months ended March 31, 2025, and $1.2 million for the three months ended March 31, 2024.</w:t>
      </w:r>
    </w:p>
    <w:p>
      <w:pPr>
        <w:pStyle w:val="TextBody"/>
        <w:bidi w:val="0"/>
        <w:spacing w:lineRule="auto" w:line="288" w:before="30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March 31, 2025, and 2024 was $393.0 million and $284.7 million, respectively, representing an increase of 38% year-over-year, which is largely attributable to continued subscriber growth. </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Monthly Active Users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large and growing global member base as of March 31, 2025. A Life360 monthly active user (“MAU”) is defined as a unique member who engages with our Life360 branded services each month, which includes both paying and non-paying members, and excludes certain members who have a delayed account setup. As of March 31, 2025 and 2024, we had approximately 83.7 million and approximately 66.4 million MAUs on the Life360 Platform, respectively, representing an increase of 26% year-over-year. We believe this has been driven by continued strong new member growth and retention.</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2024, we had approximately 2.4 million and 1.9 million paid subscribers to services under our Life360 brand, respectively, representing an increase of 26% year-over-year. We grow the number of Paying Circles by increasing our free member base, converting free members to subscribers, and retaining them over time with the provision of high-quality family connectivity and safety services.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our ARPPC was $133.42 and $123.97, respectively, representing an 8% increase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ARPPC is a key indicator utilized by Life360 to determine our effectiveness at monetizing Paying Circles through tiered product offerings. U.S. ARPPC has benefited from price increases for new and existing subscribers implemented in September 2024 and October 2024, respectively, as well as a shift in product mix towards higher priced products. International ARPPC also benefited from price increases for legacy subscribers, as well as the launch of dual and triple tier memberships across certain international markets throughout 2024. The positive impacts seen from the price increases were partially offset by an increase in international subscribers, which overall, have lower priced subscriptions.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Subscriptions as the number of paying subscribers associated with the Life360, Tile and Jiobit brands who have been billed as of the end of the period.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2024, we had approximately 3.0 million and 2.5 million paid subscribers, respectively, to services under the Life360, Tile, and Jiobit brands, representing an increase of 19%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grow the number of Subscriptions by selling hardware units and increasing our free member base, converting free members to subscribers, and retaining them over time with the provision of location tracking and high-quality family and safety services.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for the three months ended March 31, 2025 and 2024 was $112.98 and $102.02, respectively, representing an increase of 11%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has increased year over year as a result of price increases for new and existing subscribers implemented in September 2024 and October 2024, respectively, as well as a shift in product mix towards higher priced products. International ARPPC also benefited from price increases for legacy subscribers, as well as the launch of dual and triple tier memberships across certain international markets throughout 2024. The positive impacts seen from the price increases were partially offset by an increase in international subscribers, which overall, have lower priced subscriptions.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members eligible for a Tile or Jiobit subscription.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we sold approximately 0.50 million units and 0.54 million units, respectively, representing a decrease of 8% year-over-year. The decrease in net hardware units shipped was primarily due to a decrease in enterprise channel sales.</w:t>
      </w:r>
    </w:p>
    <w:p>
      <w:pPr>
        <w:pStyle w:val="TextBody"/>
        <w:bidi w:val="0"/>
        <w:spacing w:lineRule="auto" w:line="288" w:before="3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Sales Price (ASP)</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net ASP per unit was $16.99 and $16.50, respectively, representing an increase of 3% year-over-year. The increase in net ASP was primarily due to a shift in channel mix and fewer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and cash equivalents of $168.9 million and restricted cash of $1.5 million. As of December 31, 2024, we had cash and cash equivalents of $159.2 million and restricted cash of $1.2 million.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7448" w:type="dxa"/>
        <w:jc w:val="left"/>
        <w:tblInd w:w="0" w:type="dxa"/>
        <w:tblLayout w:type="fixed"/>
        <w:tblCellMar>
          <w:top w:w="28" w:type="dxa"/>
          <w:left w:w="28" w:type="dxa"/>
          <w:bottom w:w="28" w:type="dxa"/>
          <w:right w:w="28" w:type="dxa"/>
        </w:tblCellMar>
      </w:tblPr>
      <w:tblGrid>
        <w:gridCol w:w="1807"/>
        <w:gridCol w:w="1592"/>
        <w:gridCol w:w="1595"/>
        <w:gridCol w:w="211"/>
        <w:gridCol w:w="721"/>
        <w:gridCol w:w="109"/>
        <w:gridCol w:w="109"/>
        <w:gridCol w:w="109"/>
        <w:gridCol w:w="109"/>
        <w:gridCol w:w="211"/>
        <w:gridCol w:w="721"/>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sources of operating cash are cash collections from our paying members for subscriptions to our platform and hardware device sales. Our primary uses of cash from operating activities are for employee-related expenditures, costs to acquire inventory, infrastructure-related costs, commissions paid to Channel Partners and other marketing expenses.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March 31, 2025 and December 31, 2024, we had deferred revenue of $46.6 million and $45.2 million, respectively, of which $41.8 million and $39.9 million is expected to be recorded as revenue in the next 12 months, respectively, provided all other revenue recognition criteria have been met.</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For the three months ended March 31, 2025, net cash provided by operating activities was $12.1 million. The primary factors affecting our operating cash flows during this period were our net income of $4.4 million, impacted by $13.1 million of non-cash adjustments, and $5.4 million </w:t>
      </w:r>
      <w:r>
        <w:rPr>
          <w:rFonts w:ascii="Times New Roman;sans-serif" w:hAnsi="Times New Roman;sans-serif"/>
          <w:b w:val="false"/>
          <w:color w:val="000000"/>
          <w:sz w:val="20"/>
          <w:shd w:fill="FFFFFF" w:val="clear"/>
        </w:rPr>
        <w:t xml:space="preserve">of cash used by changes in our operating assets and liabilities. The non-cash adjustments primarily consisted of </w:t>
      </w:r>
      <w:r>
        <w:rPr>
          <w:rFonts w:ascii="Times New Roman;sans-serif" w:hAnsi="Times New Roman;sans-serif"/>
          <w:b w:val="false"/>
          <w:color w:val="000000"/>
          <w:sz w:val="20"/>
        </w:rPr>
        <w:t>stock-based compensation, depreciation and amortization. The cash used by changes in our operating assets and liabilities was primarily due to decreases in accrued expenses and other current liabilities and increases in inventory and prepaid expenses and other assets, which was offset by decreases in accounts receivable, net, and deferred revenue.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provided by operating activities was $10.7 million. The primary factors affecting our operating cash flows during this period were our net loss of $9.8 million, impacted by $13.0 million of non-cash adjustments and $7.5 million of cash provided by changes in our operating assets and liabilities. The non-cash adjustments primarily consisted of stock-based compensation, depreciation and amortization, and fair value adjustments for our convertible notes and derivative liability. The cash provided by changes in our operating assets and liabilities was primarily due to decreases in accounts receivable, net, and prepaid expenses and other assets, increases in accounts payable and deferred revenue, offset by a decrease in accrued expenses and other current liabilities and increases in inventory.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net cash used in investing activities was $4.3 million, which primarily related to cash paid for acquisitions. Refer to Note 6, "Business Combinations" for additional information. Net cash used in investing activities also included capitalization of internally developed software costs in accordance with ASC 350-40, Intangibles - Goodwill and Other,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net cash used in investing activities was $1.1 million, which primarily related to the capitalization of internally developed software costs in accordance with ASC 350-40, Intangibles — Goodwill and Other, Internal-Use Software.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provided by financing activities was $2.2 million, which primarily related to $10.6 million of taxes paid for the net settlement of equity awards, offset by $12.8 million of proceeds related to tax withholdings on restricted stock settlements and the exercise of stock options and warrants.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used in financing activities was $5.7 million, which primarily related to $8.1 million, of taxes paid for the net settlement of equity awards, offset by $2.4 million of proceeds from the exercise of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Obligations and Other Commitments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commitments consist of obligations under our operating leases for office space, and other purchase commitments. Information regarding our non-cancellable lease and other purchase commitments as of March 31, 2025, can be found in Note 7, "Balance Sheet Components" and Note 8,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Management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There were no significant changes to these policies during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we had $135.4 million and $134.0 million, respectively, of cash equivalents invested in money market funds. Our cash and cash equivalents are held for working capital purposes. As of March 31, 2025 and December 31, 2024, a hypothetical 10% relative change in interest rates would not have a material impact on our condensed consolidated financial statements.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condensed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March 31, 2025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March 31, 2025.</w:t>
      </w:r>
    </w:p>
    <w:p>
      <w:pPr>
        <w:pStyle w:val="TextBody"/>
        <w:bidi w:val="0"/>
        <w:spacing w:lineRule="auto" w:line="288" w:before="240" w:after="283"/>
        <w:jc w:val="both"/>
        <w:rPr>
          <w:rFonts w:ascii="Times New Roman;sans-serif" w:hAnsi="Times New Roman;sans-serif"/>
          <w:b/>
          <w:i/>
          <w:color w:val="231F20"/>
          <w:sz w:val="20"/>
        </w:rPr>
      </w:pPr>
      <w:r>
        <w:rPr>
          <w:rFonts w:ascii="Times New Roman;sans-serif" w:hAnsi="Times New Roman;sans-serif"/>
          <w:b/>
          <w:i/>
          <w:color w:val="231F2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three months ended March 31, 2025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Note 8, "Commitments and Contingencies" in the notes to the condensed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from the risk factors set forth under the heading “Risk Factors” in Part I, Item 1A in our Annual Report, except for the following risk factors which supplement the risk factors previously disclosed and should be considered in conjunction with the risk factors set forth in our Annual Report. An investment in shares of our common stock involves a high degree of risk. You should carefully consider the risks and uncertainties described in our Annual Report, together with all of the other information in the Annual Report, and the following information about risks, together with the other information appearing elsewhere in this Quarterly Report, including our unaudited condensed consolidated financial statements and related notes hereto, and any other documents that we file with the SEC before deciding to invest in our common stock. The occurrence of any of the following risks or of those described in our Annual Report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or in our Annual Report will not occur.</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additional tariffs on Chinese-origin goods are imposed, related countermeasures are taken by the People’s Republic of China (the “PRC”), or we experience supply chain transformation setbacks, it could have an adverse impact on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 More recently, the United States’ imposed an additional 145% tariff on products of the PRC under the International Emergency Economic Powers Act. These tariffs affect our products, and they apply in addition to the preexisting tariffs the United States has imposed on products of the PRC. There may be further changes in the United States’ and other governments’ trade regulations, including increased or new tariffs.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Unregistered Sales of Equity Securities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2025, pursuant to the Asset Purchase Agreement with Fantix, Inc., the Company acquired certain assets for a total consideration of $4.5 million, consisting of $3.5 million in cash and $1.0 million in common stock, and issued 22,252 shares of common stock (the “Fantix Shares”) to Fantix, Inc. The issuance of the Fantix Shares was not registered under the Securities Act of 1933, as amended (the Securities Act), because the shares were offered and sold in a transaction by the issuer not involving any public offering exempt from registration under Section 4(a)(2) of the Securities Act.</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$79.9 million after deducting underwriting discounts and commissions of $7.0 million and total other offering related expenses payable by us of approximately $13.1 million. Other offering related expenses of $6.8 million included on the consolidated statement of operations and comprehensive income (loss) for the twelve months ended December 31, 2024,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expected use of the net proceeds from our U.S. IPO as described in our final prospectus supplement filed as part of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(a) None</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(b) None</w:t>
      </w:r>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 Rule 10b5-1 Trading Plans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March 31, 2025, the following Section 16 Officers adopted a “Rule 10b5-1 trading arrangement” as defined in Item 408 of Regulation S-K of the Exchange Act:</w:t>
      </w:r>
    </w:p>
    <w:tbl>
      <w:tblPr>
        <w:tblW w:w="9177" w:type="dxa"/>
        <w:jc w:val="left"/>
        <w:tblInd w:w="0" w:type="dxa"/>
        <w:tblLayout w:type="fixed"/>
        <w:tblCellMar>
          <w:top w:w="28" w:type="dxa"/>
          <w:left w:w="28" w:type="dxa"/>
          <w:bottom w:w="28" w:type="dxa"/>
          <w:right w:w="28" w:type="dxa"/>
        </w:tblCellMar>
      </w:tblPr>
      <w:tblGrid>
        <w:gridCol w:w="607"/>
        <w:gridCol w:w="532"/>
        <w:gridCol w:w="541"/>
        <w:gridCol w:w="254"/>
        <w:gridCol w:w="254"/>
        <w:gridCol w:w="258"/>
        <w:gridCol w:w="294"/>
        <w:gridCol w:w="294"/>
        <w:gridCol w:w="298"/>
        <w:gridCol w:w="414"/>
        <w:gridCol w:w="414"/>
        <w:gridCol w:w="416"/>
        <w:gridCol w:w="444"/>
        <w:gridCol w:w="444"/>
        <w:gridCol w:w="446"/>
        <w:gridCol w:w="964"/>
        <w:gridCol w:w="964"/>
        <w:gridCol w:w="967"/>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Adoption Date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Expiration Date</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 securities to be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3/14/2025</w:t>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11/30/2026</w:t>
            </w:r>
          </w:p>
        </w:tc>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142,752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Brit Morin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3/17/2025</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3/16/2026</w:t>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Up to 48,032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other Section 16 Officers or directors adopted and/or terminated a “Rule 10b5-1 trading arrangement” or a “non-Rule 10b5-1 trading arrangement,” as defined in Item 408 of Regulation S-K of the Exchange Act, during the three months ended March 31, 2025.</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Departure of Named Executive Officer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2025, the Company and Susan Stick, the Company’s General Counsel and Corporate Secretary, mutually determined that, effective as of June 2, 2025, Ms. Stick would no longer serve in her roles as the Company’s General Counsel and Corporate Secretary. In connection with her separation and subject to Ms. Stick’s execution and non-revocation of a release of claims in favor of the Company, Ms. Stick will receive (i) severance payments equal to $187,500, representing six (6) months of her base salary, and $84,375, representing an amount equal to six-months of her 2025 target annual bonus, and (ii) up to six-months of reimbursements for continued coverage under the Company’s health plans. In addition, in order to facilitate an orderly transition of her duties, Ms. Stick will serve as a consultant to the Company through June 2, 2026, with her outstanding restricted stock units to continue to vest during the term of Ms. Stick’s service as a consultant.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2"/>
        <w:gridCol w:w="221"/>
        <w:gridCol w:w="223"/>
        <w:gridCol w:w="109"/>
        <w:gridCol w:w="109"/>
        <w:gridCol w:w="109"/>
        <w:gridCol w:w="1409"/>
        <w:gridCol w:w="1286"/>
        <w:gridCol w:w="1299"/>
        <w:gridCol w:w="109"/>
        <w:gridCol w:w="109"/>
        <w:gridCol w:w="109"/>
        <w:gridCol w:w="293"/>
        <w:gridCol w:w="293"/>
        <w:gridCol w:w="294"/>
        <w:gridCol w:w="109"/>
        <w:gridCol w:w="109"/>
        <w:gridCol w:w="109"/>
        <w:gridCol w:w="170"/>
        <w:gridCol w:w="170"/>
        <w:gridCol w:w="171"/>
        <w:gridCol w:w="109"/>
        <w:gridCol w:w="109"/>
        <w:gridCol w:w="109"/>
        <w:gridCol w:w="251"/>
        <w:gridCol w:w="251"/>
        <w:gridCol w:w="221"/>
        <w:gridCol w:w="109"/>
        <w:gridCol w:w="109"/>
        <w:gridCol w:w="109"/>
        <w:gridCol w:w="226"/>
        <w:gridCol w:w="226"/>
        <w:gridCol w:w="227"/>
        <w:gridCol w:w="109"/>
        <w:gridCol w:w="109"/>
        <w:gridCol w:w="109"/>
        <w:gridCol w:w="219"/>
        <w:gridCol w:w="219"/>
        <w:gridCol w:w="32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r>
      <w:tr>
        <w:trPr/>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125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125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life360q125xceo.htm">
              <w:r>
                <w:rPr>
                  <w:rStyle w:val="InternetLink"/>
                  <w:rFonts w:ascii="Times New Roman;sans-serif" w:hAnsi="Times New Roman;sans-serif"/>
                  <w:b w:val="false"/>
                  <w:color w:val="0000FF"/>
                  <w:sz w:val="20"/>
                  <w:u w:val="single"/>
                </w:rPr>
                <w:t>Chief Executive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125xcfo.htm">
              <w:r>
                <w:rPr>
                  <w:rStyle w:val="InternetLink"/>
                  <w:rFonts w:ascii="Times New Roman;sans-serif" w:hAnsi="Times New Roman;sans-serif"/>
                  <w:b w:val="false"/>
                  <w:color w:val="0000FF"/>
                  <w:sz w:val="20"/>
                  <w:u w:val="single"/>
                </w:rPr>
                <w:t>Chief Financial Officer 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Inline XBRL Taxonomy Extension Schema With Embedded Linkbase Documents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 </w:t>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714470804afe4b5086df10f2c0e172d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080"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March 31, 2025 (the “Report”), I, Chris Hulls,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613"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March 31, 2025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628"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4152060/d844406dex31.htm" TargetMode="External"/><Relationship Id="rId3" Type="http://schemas.openxmlformats.org/officeDocument/2006/relationships/hyperlink" Target="https://www.sec.gov/Archives/edgar/data/1581760/000119312524152060/d844406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18000</Words>
  <Characters>100285</Characters>
  <CharactersWithSpaces>116950</CharactersWithSpaces>
  <Paragraphs>2251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