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24542d8a12b.htm"/>
      <w:bookmarkStart w:id="1" w:name="ksd824542d8a12b"/>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8-A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FOR REGISTRATION OF CERTAIN CLASSES OF SECURITIES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12(b) OR (g) OF </w:t>
      </w:r>
    </w:p>
    <w:p>
      <w:pPr>
        <w:pStyle w:val="TextBody"/>
        <w:bidi w:val="0"/>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Life360,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26-0197666</w:t>
            </w:r>
          </w:p>
        </w:tc>
      </w:tr>
      <w:tr>
        <w:trPr/>
        <w:tc>
          <w:tcPr>
            <w:tcW w:w="5153" w:type="dxa"/>
            <w:tcBorders/>
          </w:tcPr>
          <w:p>
            <w:pPr>
              <w:pStyle w:val="TableContents"/>
              <w:bidi w:val="0"/>
              <w:spacing w:before="0" w:after="283"/>
              <w:jc w:val="center"/>
              <w:rPr>
                <w:b/>
              </w:rPr>
            </w:pPr>
            <w:r>
              <w:rPr>
                <w:b/>
              </w:rPr>
              <w:t>(State of 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(I.R.S. Employer Identification No.)</w:t>
            </w:r>
          </w:p>
        </w:tc>
      </w:tr>
      <w:tr>
        <w:trPr>
          <w:trHeight w:val="240" w:hRule="atLeast"/>
        </w:trPr>
        <w:tc>
          <w:tcPr>
            <w:tcW w:w="5153" w:type="dxa"/>
            <w:tcBorders/>
            <w:vAlign w:val="center"/>
          </w:tcPr>
          <w:p>
            <w:pPr>
              <w:pStyle w:val="TableContents"/>
              <w:bidi w:val="0"/>
              <w:spacing w:before="0" w:after="283"/>
              <w:jc w:val="left"/>
              <w:rPr>
                <w:sz w:val="4"/>
                <w:szCs w:val="4"/>
              </w:rPr>
            </w:pPr>
            <w:r>
              <w:rPr>
                <w:sz w:val="4"/>
                <w:szCs w:val="4"/>
              </w:rPr>
            </w:r>
          </w:p>
        </w:tc>
        <w:tc>
          <w:tcPr>
            <w:tcW w:w="5052" w:type="dxa"/>
            <w:gridSpan w:val="2"/>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1900 South Norfolk Street, Suite 310</w:t>
            </w:r>
          </w:p>
          <w:p>
            <w:pPr>
              <w:pStyle w:val="TableContents"/>
              <w:bidi w:val="0"/>
              <w:spacing w:before="0" w:after="20"/>
              <w:jc w:val="center"/>
              <w:rPr>
                <w:rFonts w:ascii="Times New Roman" w:hAnsi="Times New Roman"/>
                <w:b/>
                <w:sz w:val="20"/>
              </w:rPr>
            </w:pPr>
            <w:r>
              <w:rPr>
                <w:rFonts w:ascii="Times New Roman" w:hAnsi="Times New Roman"/>
                <w:b/>
                <w:sz w:val="20"/>
              </w:rPr>
              <w:t>San Mateo, CA</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94403</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Securities to be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Title of each class</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to be so registered</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Name of exchange on which</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each class is to be registered</w:t>
            </w:r>
          </w:p>
        </w:tc>
      </w:tr>
      <w:tr>
        <w:trPr/>
        <w:tc>
          <w:tcPr>
            <w:tcW w:w="5153" w:type="dxa"/>
            <w:tcBorders/>
          </w:tcPr>
          <w:p>
            <w:pPr>
              <w:pStyle w:val="TableContents"/>
              <w:bidi w:val="0"/>
              <w:spacing w:before="0" w:after="283"/>
              <w:jc w:val="center"/>
              <w:rPr>
                <w:b/>
              </w:rPr>
            </w:pPr>
            <w:r>
              <w:rPr>
                <w:b/>
              </w:rPr>
              <w:t>Common Stock, $0.001 par value per share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The Nasdaq Stock Market LLC</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If this form relates to the registration of a class of securities pursuant to Section 12(b) of the Exchange Act and is effective pursuant to General Instruction A.(c) or (e),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this form relates to the registration of a class of securities pursuant to Section 12(g) of the Exchange Act and is effective pursuant to General Instruction A.(d) or (e), check the following. ☐ </w:t>
      </w:r>
    </w:p>
    <w:p>
      <w:pPr>
        <w:pStyle w:val="TextBody"/>
        <w:bidi w:val="0"/>
        <w:spacing w:before="240" w:after="0"/>
        <w:jc w:val="left"/>
        <w:rPr>
          <w:rFonts w:ascii="Times New Roman" w:hAnsi="Times New Roman"/>
          <w:sz w:val="20"/>
        </w:rPr>
      </w:pPr>
      <w:r>
        <w:rPr>
          <w:rFonts w:ascii="Times New Roman" w:hAnsi="Times New Roman"/>
          <w:sz w:val="20"/>
        </w:rPr>
        <w:t xml:space="preserve">If this form relates to the registration of a class of securities concurrently with a Regulation A offering, check the following box. ☐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Act registration statement or Regulation A offering statement file number to which the form relates: </w:t>
      </w:r>
    </w:p>
    <w:p>
      <w:pPr>
        <w:pStyle w:val="TextBody"/>
        <w:bidi w:val="0"/>
        <w:spacing w:before="0" w:after="0"/>
        <w:jc w:val="center"/>
        <w:rPr>
          <w:rFonts w:ascii="Times New Roman" w:hAnsi="Times New Roman"/>
          <w:b/>
          <w:sz w:val="20"/>
        </w:rPr>
      </w:pPr>
      <w:r>
        <w:rPr>
          <w:rFonts w:ascii="Times New Roman" w:hAnsi="Times New Roman"/>
          <w:b/>
          <w:sz w:val="20"/>
        </w:rPr>
        <w:t xml:space="preserve">333-279271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to be registered pursuant to Section 12(g) of the Act: </w:t>
      </w:r>
    </w:p>
    <w:p>
      <w:pPr>
        <w:pStyle w:val="TextBody"/>
        <w:bidi w:val="0"/>
        <w:spacing w:before="0" w:after="0"/>
        <w:jc w:val="center"/>
        <w:rPr>
          <w:rFonts w:ascii="Times New Roman" w:hAnsi="Times New Roman"/>
          <w:b/>
          <w:sz w:val="20"/>
        </w:rPr>
      </w:pPr>
      <w:r>
        <w:rPr>
          <w:rFonts w:ascii="Times New Roman" w:hAnsi="Times New Roman"/>
          <w:b/>
          <w:sz w:val="20"/>
        </w:rPr>
        <w:t xml:space="preserve">None.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 Description of Registrants Securities to be Registered. </w:t>
      </w:r>
    </w:p>
    <w:p>
      <w:pPr>
        <w:pStyle w:val="TextBody"/>
        <w:bidi w:val="0"/>
        <w:spacing w:before="120" w:after="0"/>
        <w:jc w:val="left"/>
        <w:rPr>
          <w:rFonts w:ascii="Times New Roman" w:hAnsi="Times New Roman"/>
          <w:sz w:val="20"/>
        </w:rPr>
      </w:pPr>
      <w:r>
        <w:rPr>
          <w:rFonts w:ascii="Times New Roman" w:hAnsi="Times New Roman"/>
          <w:sz w:val="20"/>
        </w:rPr>
        <w:t>Life360, Inc. (the </w:t>
      </w:r>
      <w:r>
        <w:rPr>
          <w:rFonts w:ascii="Times New Roman" w:hAnsi="Times New Roman"/>
          <w:b/>
          <w:i/>
          <w:sz w:val="20"/>
        </w:rPr>
        <w:t>Registrant</w:t>
      </w:r>
      <w:r>
        <w:rPr>
          <w:rFonts w:ascii="Times New Roman" w:hAnsi="Times New Roman"/>
          <w:sz w:val="20"/>
        </w:rPr>
        <w:t>) hereby incorporates by reference the description of its Common Stock, par value $0.001 per share, to be registered hereunder contained under the heading Description of Capital Stock in the Registrants Registration Statement on Form S-3 (File No. 333-279271), as originally filed with the Securities and Exchange Commission (the </w:t>
      </w:r>
      <w:r>
        <w:rPr>
          <w:rFonts w:ascii="Times New Roman" w:hAnsi="Times New Roman"/>
          <w:b/>
          <w:i/>
          <w:sz w:val="20"/>
        </w:rPr>
        <w:t>Commission</w:t>
      </w:r>
      <w:r>
        <w:rPr>
          <w:rFonts w:ascii="Times New Roman" w:hAnsi="Times New Roman"/>
          <w:sz w:val="20"/>
        </w:rPr>
        <w:t>) on May 9, 2024 (the </w:t>
      </w:r>
      <w:r>
        <w:rPr>
          <w:rFonts w:ascii="Times New Roman" w:hAnsi="Times New Roman"/>
          <w:b/>
          <w:i/>
          <w:sz w:val="20"/>
        </w:rPr>
        <w:t>Registration Statement</w:t>
      </w:r>
      <w:r>
        <w:rPr>
          <w:rFonts w:ascii="Times New Roman" w:hAnsi="Times New Roman"/>
          <w:sz w:val="20"/>
        </w:rPr>
        <w:t xml:space="preserve">), and in the prospectus included in the Registration Statement pursuant to Rule 424(b) under the Securities Act of 1933, as amended, which prospectus shall be deemed to be incorporated by reference herein. </w:t>
      </w:r>
    </w:p>
    <w:p>
      <w:pPr>
        <w:pStyle w:val="TextBody"/>
        <w:bidi w:val="0"/>
        <w:spacing w:before="360" w:after="0"/>
        <w:jc w:val="left"/>
        <w:rPr>
          <w:rFonts w:ascii="Times New Roman" w:hAnsi="Times New Roman"/>
          <w:b/>
          <w:sz w:val="20"/>
        </w:rPr>
      </w:pPr>
      <w:r>
        <w:rPr>
          <w:rFonts w:ascii="Times New Roman" w:hAnsi="Times New Roman"/>
          <w:b/>
          <w:sz w:val="20"/>
        </w:rPr>
        <w:t xml:space="preserve">Item 2. Exhibits.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Instructions as to Exhibits with respect to Form 8-A, no exhibits are required to be filed as part of this registration statement because no other securities of the Registrant are registered on The Nasdaq Stock Market LLC and the securities registered hereby are not being registered pursuant to Section 12(g) of the Securities Exchange Act of 1934, as amended.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Section 12 of the Securities Exchange Act of 1934, the registrant has duly caused this registration statement to be signed on its behalf by the undersigned, thereto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72"/>
        <w:gridCol w:w="104"/>
        <w:gridCol w:w="404"/>
        <w:gridCol w:w="104"/>
        <w:gridCol w:w="320"/>
        <w:gridCol w:w="104"/>
        <w:gridCol w:w="4597"/>
      </w:tblGrid>
      <w:tr>
        <w:trPr/>
        <w:tc>
          <w:tcPr>
            <w:tcW w:w="4572"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597" w:type="dxa"/>
            <w:tcBorders/>
            <w:vAlign w:val="center"/>
          </w:tcPr>
          <w:p>
            <w:pPr>
              <w:pStyle w:val="TableContents"/>
              <w:bidi w:val="0"/>
              <w:spacing w:before="0" w:after="283"/>
              <w:jc w:val="left"/>
              <w:rPr>
                <w:sz w:val="4"/>
                <w:szCs w:val="4"/>
              </w:rPr>
            </w:pPr>
            <w:r>
              <w:rPr>
                <w:sz w:val="4"/>
                <w:szCs w:val="4"/>
              </w:rPr>
            </w:r>
          </w:p>
        </w:tc>
      </w:tr>
      <w:tr>
        <w:trPr/>
        <w:tc>
          <w:tcPr>
            <w:tcW w:w="4572"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5021" w:type="dxa"/>
            <w:gridSpan w:val="3"/>
            <w:tcBorders/>
            <w:vAlign w:val="bottom"/>
          </w:tcPr>
          <w:p>
            <w:pPr>
              <w:pStyle w:val="TableContents"/>
              <w:bidi w:val="0"/>
              <w:spacing w:before="0" w:after="283"/>
              <w:jc w:val="left"/>
              <w:rPr>
                <w:b/>
              </w:rPr>
            </w:pPr>
            <w:r>
              <w:rPr>
                <w:b/>
              </w:rPr>
              <w:t>LIFE360, INC.</w:t>
            </w:r>
          </w:p>
        </w:tc>
      </w:tr>
      <w:tr>
        <w:trPr>
          <w:trHeight w:val="240" w:hRule="atLeast"/>
        </w:trPr>
        <w:tc>
          <w:tcPr>
            <w:tcW w:w="4572"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24" w:type="dxa"/>
            <w:gridSpan w:val="2"/>
            <w:tcBorders/>
            <w:vAlign w:val="center"/>
          </w:tcPr>
          <w:p>
            <w:pPr>
              <w:pStyle w:val="TableContents"/>
              <w:bidi w:val="0"/>
              <w:spacing w:before="0" w:after="283"/>
              <w:jc w:val="left"/>
              <w:rPr>
                <w:sz w:val="4"/>
                <w:szCs w:val="4"/>
              </w:rPr>
            </w:pPr>
            <w:r>
              <w:rPr>
                <w:sz w:val="4"/>
                <w:szCs w:val="4"/>
              </w:rPr>
            </w:r>
          </w:p>
        </w:tc>
        <w:tc>
          <w:tcPr>
            <w:tcW w:w="4701" w:type="dxa"/>
            <w:gridSpan w:val="2"/>
            <w:tcBorders/>
            <w:vAlign w:val="center"/>
          </w:tcPr>
          <w:p>
            <w:pPr>
              <w:pStyle w:val="TableContents"/>
              <w:bidi w:val="0"/>
              <w:spacing w:before="0" w:after="283"/>
              <w:jc w:val="left"/>
              <w:rPr>
                <w:sz w:val="4"/>
                <w:szCs w:val="4"/>
              </w:rPr>
            </w:pPr>
            <w:r>
              <w:rPr>
                <w:sz w:val="4"/>
                <w:szCs w:val="4"/>
              </w:rPr>
            </w:r>
          </w:p>
        </w:tc>
      </w:tr>
      <w:tr>
        <w:trPr/>
        <w:tc>
          <w:tcPr>
            <w:tcW w:w="4572" w:type="dxa"/>
            <w:tcBorders/>
            <w:vAlign w:val="bottom"/>
          </w:tcPr>
          <w:p>
            <w:pPr>
              <w:pStyle w:val="TableContents"/>
              <w:bidi w:val="0"/>
              <w:spacing w:before="0" w:after="283"/>
              <w:jc w:val="left"/>
              <w:rPr/>
            </w:pPr>
            <w:r>
              <w:rPr/>
              <w:t>Date: June 3, 2024</w:t>
            </w:r>
          </w:p>
        </w:tc>
        <w:tc>
          <w:tcPr>
            <w:tcW w:w="104"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By:</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4597" w:type="dxa"/>
            <w:tcBorders>
              <w:bottom w:val="single" w:sz="2" w:space="0" w:color="000000"/>
            </w:tcBorders>
            <w:tcMar>
              <w:bottom w:w="28" w:type="dxa"/>
            </w:tcMar>
            <w:vAlign w:val="bottom"/>
          </w:tcPr>
          <w:p>
            <w:pPr>
              <w:pStyle w:val="TableContents"/>
              <w:bidi w:val="0"/>
              <w:spacing w:before="0" w:after="283"/>
              <w:jc w:val="left"/>
              <w:rPr/>
            </w:pPr>
            <w:r>
              <w:rPr/>
              <w:t>/s/ Russell Burke</w:t>
            </w:r>
          </w:p>
        </w:tc>
      </w:tr>
      <w:tr>
        <w:trPr/>
        <w:tc>
          <w:tcPr>
            <w:tcW w:w="4572"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597" w:type="dxa"/>
            <w:tcBorders/>
            <w:vAlign w:val="bottom"/>
          </w:tcPr>
          <w:p>
            <w:pPr>
              <w:pStyle w:val="TableContents"/>
              <w:bidi w:val="0"/>
              <w:spacing w:before="0" w:after="283"/>
              <w:jc w:val="left"/>
              <w:rPr/>
            </w:pPr>
            <w:r>
              <w:rPr/>
              <w:t>Russell Burke</w:t>
            </w:r>
          </w:p>
        </w:tc>
      </w:tr>
      <w:tr>
        <w:trPr/>
        <w:tc>
          <w:tcPr>
            <w:tcW w:w="4572"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597" w:type="dxa"/>
            <w:tcBorders/>
            <w:vAlign w:val="bottom"/>
          </w:tcPr>
          <w:p>
            <w:pPr>
              <w:pStyle w:val="TableContents"/>
              <w:bidi w:val="0"/>
              <w:spacing w:before="0" w:after="283"/>
              <w:jc w:val="left"/>
              <w:rPr/>
            </w:pPr>
            <w:r>
              <w:rPr/>
              <w:t>Chief Financial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464</Words>
  <Characters>2400</Characters>
  <CharactersWithSpaces>2863</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8-A12B</dc:title>
</cp:coreProperties>
</file>