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0001932626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75"/>
        <w:gridCol w:w="4730"/>
      </w:tblGrid>
      <w:tr>
        <w:trPr/>
        <w:tc>
          <w:tcPr>
            <w:tcW w:w="5475" w:type="dxa"/>
            <w:tcBorders/>
            <w:vAlign w:val="center"/>
          </w:tcPr>
          <w:p>
            <w:pPr>
              <w:pStyle w:val="TableContents"/>
              <w:bidi w:val="0"/>
              <w:spacing w:before="0" w:after="283"/>
              <w:jc w:val="left"/>
              <w:rPr/>
            </w:pPr>
            <w:r>
              <w:rPr/>
              <w:t>Name of Issuer</w:t>
            </w:r>
          </w:p>
        </w:tc>
        <w:tc>
          <w:tcPr>
            <w:tcW w:w="4730" w:type="dxa"/>
            <w:tcBorders/>
            <w:vAlign w:val="center"/>
          </w:tcPr>
          <w:p>
            <w:pPr>
              <w:pStyle w:val="TableContents"/>
              <w:bidi w:val="0"/>
              <w:spacing w:before="0" w:after="0"/>
              <w:jc w:val="left"/>
              <w:rPr/>
            </w:pPr>
            <w:r>
              <w:rPr/>
              <w:t>Life360, Inc.</w:t>
            </w:r>
          </w:p>
        </w:tc>
      </w:tr>
      <w:tr>
        <w:trPr/>
        <w:tc>
          <w:tcPr>
            <w:tcW w:w="5475" w:type="dxa"/>
            <w:tcBorders/>
            <w:vAlign w:val="center"/>
          </w:tcPr>
          <w:p>
            <w:pPr>
              <w:pStyle w:val="TableContents"/>
              <w:bidi w:val="0"/>
              <w:spacing w:before="0" w:after="283"/>
              <w:jc w:val="left"/>
              <w:rPr/>
            </w:pPr>
            <w:r>
              <w:rPr/>
              <w:t>SEC File Number</w:t>
            </w:r>
          </w:p>
        </w:tc>
        <w:tc>
          <w:tcPr>
            <w:tcW w:w="4730" w:type="dxa"/>
            <w:tcBorders/>
            <w:vAlign w:val="center"/>
          </w:tcPr>
          <w:p>
            <w:pPr>
              <w:pStyle w:val="TableContents"/>
              <w:bidi w:val="0"/>
              <w:spacing w:before="0" w:after="0"/>
              <w:jc w:val="left"/>
              <w:rPr/>
            </w:pPr>
            <w:r>
              <w:rPr/>
              <w:t>001-42120</w:t>
            </w:r>
          </w:p>
        </w:tc>
      </w:tr>
      <w:tr>
        <w:trPr/>
        <w:tc>
          <w:tcPr>
            <w:tcW w:w="5475" w:type="dxa"/>
            <w:tcBorders/>
            <w:vAlign w:val="center"/>
          </w:tcPr>
          <w:p>
            <w:pPr>
              <w:pStyle w:val="TableContents"/>
              <w:bidi w:val="0"/>
              <w:spacing w:before="0" w:after="283"/>
              <w:jc w:val="left"/>
              <w:rPr/>
            </w:pPr>
            <w:r>
              <w:rPr/>
              <w:t>Address of Issuer</w:t>
            </w:r>
          </w:p>
        </w:tc>
        <w:tc>
          <w:tcPr>
            <w:tcW w:w="4730" w:type="dxa"/>
            <w:tcBorders/>
            <w:vAlign w:val="center"/>
          </w:tcPr>
          <w:p>
            <w:pPr>
              <w:pStyle w:val="TableContents"/>
              <w:bidi w:val="0"/>
              <w:spacing w:before="0" w:after="0"/>
              <w:jc w:val="left"/>
              <w:rPr/>
            </w:pPr>
            <w:r>
              <w:rPr/>
              <w:t>1900 SOUTH NORFOLK STREET, SUITE 310</w:t>
              <w:br/>
              <w:t>SAN MATEO</w:t>
              <w:br/>
              <w:t xml:space="preserve">CALIFORNIA </w:t>
              <w:br/>
              <w:t>94403</w:t>
            </w:r>
          </w:p>
        </w:tc>
      </w:tr>
      <w:tr>
        <w:trPr/>
        <w:tc>
          <w:tcPr>
            <w:tcW w:w="5475" w:type="dxa"/>
            <w:tcBorders/>
            <w:vAlign w:val="center"/>
          </w:tcPr>
          <w:p>
            <w:pPr>
              <w:pStyle w:val="TableContents"/>
              <w:bidi w:val="0"/>
              <w:spacing w:before="0" w:after="283"/>
              <w:jc w:val="left"/>
              <w:rPr/>
            </w:pPr>
            <w:r>
              <w:rPr/>
              <w:t>Phone</w:t>
            </w:r>
          </w:p>
        </w:tc>
        <w:tc>
          <w:tcPr>
            <w:tcW w:w="4730" w:type="dxa"/>
            <w:tcBorders/>
            <w:vAlign w:val="center"/>
          </w:tcPr>
          <w:p>
            <w:pPr>
              <w:pStyle w:val="TableContents"/>
              <w:bidi w:val="0"/>
              <w:spacing w:before="0" w:after="0"/>
              <w:jc w:val="left"/>
              <w:rPr/>
            </w:pPr>
            <w:r>
              <w:rPr/>
              <w:t>415-484-5244</w:t>
            </w:r>
          </w:p>
        </w:tc>
      </w:tr>
      <w:tr>
        <w:trPr/>
        <w:tc>
          <w:tcPr>
            <w:tcW w:w="5475" w:type="dxa"/>
            <w:tcBorders/>
            <w:vAlign w:val="center"/>
          </w:tcPr>
          <w:p>
            <w:pPr>
              <w:pStyle w:val="TableContents"/>
              <w:bidi w:val="0"/>
              <w:spacing w:before="0" w:after="283"/>
              <w:jc w:val="left"/>
              <w:rPr/>
            </w:pPr>
            <w:r>
              <w:rPr/>
              <w:t>Name of Person for Whose Account the Securities are To Be Sold</w:t>
            </w:r>
          </w:p>
        </w:tc>
        <w:tc>
          <w:tcPr>
            <w:tcW w:w="4730" w:type="dxa"/>
            <w:tcBorders/>
            <w:vAlign w:val="center"/>
          </w:tcPr>
          <w:p>
            <w:pPr>
              <w:pStyle w:val="TableContents"/>
              <w:bidi w:val="0"/>
              <w:spacing w:before="0" w:after="0"/>
              <w:jc w:val="left"/>
              <w:rPr/>
            </w:pPr>
            <w:r>
              <w:rPr/>
              <w:t>Haro Alex</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75" w:type="dxa"/>
            <w:tcBorders/>
            <w:vAlign w:val="center"/>
          </w:tcPr>
          <w:p>
            <w:pPr>
              <w:pStyle w:val="TableContents"/>
              <w:bidi w:val="0"/>
              <w:spacing w:before="0" w:after="283"/>
              <w:jc w:val="left"/>
              <w:rPr/>
            </w:pPr>
            <w:r>
              <w:rPr/>
              <w:t>Relationship to Issuer</w:t>
            </w:r>
          </w:p>
        </w:tc>
        <w:tc>
          <w:tcPr>
            <w:tcW w:w="4730"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56"/>
        <w:gridCol w:w="1534"/>
        <w:gridCol w:w="1159"/>
        <w:gridCol w:w="1452"/>
        <w:gridCol w:w="1544"/>
        <w:gridCol w:w="1562"/>
        <w:gridCol w:w="1398"/>
      </w:tblGrid>
      <w:tr>
        <w:trPr/>
        <w:tc>
          <w:tcPr>
            <w:tcW w:w="1556" w:type="dxa"/>
            <w:tcBorders/>
            <w:vAlign w:val="center"/>
          </w:tcPr>
          <w:p>
            <w:pPr>
              <w:pStyle w:val="TableHeading"/>
              <w:suppressLineNumbers/>
              <w:bidi w:val="0"/>
              <w:spacing w:before="0" w:after="283"/>
              <w:jc w:val="center"/>
              <w:rPr/>
            </w:pPr>
            <w:r>
              <w:rPr/>
              <w:t>Title of the Class of Securities To Be Sold</w:t>
            </w:r>
          </w:p>
        </w:tc>
        <w:tc>
          <w:tcPr>
            <w:tcW w:w="1534" w:type="dxa"/>
            <w:tcBorders/>
            <w:vAlign w:val="center"/>
          </w:tcPr>
          <w:p>
            <w:pPr>
              <w:pStyle w:val="TableHeading"/>
              <w:suppressLineNumbers/>
              <w:bidi w:val="0"/>
              <w:spacing w:before="0" w:after="283"/>
              <w:jc w:val="center"/>
              <w:rPr/>
            </w:pPr>
            <w:r>
              <w:rPr/>
              <w:t>Name and Address of the Broker</w:t>
            </w:r>
          </w:p>
        </w:tc>
        <w:tc>
          <w:tcPr>
            <w:tcW w:w="1159" w:type="dxa"/>
            <w:tcBorders/>
            <w:vAlign w:val="center"/>
          </w:tcPr>
          <w:p>
            <w:pPr>
              <w:pStyle w:val="TableHeading"/>
              <w:suppressLineNumbers/>
              <w:bidi w:val="0"/>
              <w:spacing w:before="0" w:after="283"/>
              <w:jc w:val="center"/>
              <w:rPr/>
            </w:pPr>
            <w:r>
              <w:rPr/>
              <w:t>Number of Shares or Other Units To Be Sold</w:t>
            </w:r>
          </w:p>
        </w:tc>
        <w:tc>
          <w:tcPr>
            <w:tcW w:w="1452" w:type="dxa"/>
            <w:tcBorders/>
            <w:vAlign w:val="center"/>
          </w:tcPr>
          <w:p>
            <w:pPr>
              <w:pStyle w:val="TableHeading"/>
              <w:suppressLineNumbers/>
              <w:bidi w:val="0"/>
              <w:spacing w:before="0" w:after="283"/>
              <w:jc w:val="center"/>
              <w:rPr/>
            </w:pPr>
            <w:r>
              <w:rPr/>
              <w:t>Aggregate Market Value</w:t>
            </w:r>
          </w:p>
        </w:tc>
        <w:tc>
          <w:tcPr>
            <w:tcW w:w="1544" w:type="dxa"/>
            <w:tcBorders/>
            <w:vAlign w:val="center"/>
          </w:tcPr>
          <w:p>
            <w:pPr>
              <w:pStyle w:val="TableHeading"/>
              <w:suppressLineNumbers/>
              <w:bidi w:val="0"/>
              <w:spacing w:before="0" w:after="283"/>
              <w:jc w:val="center"/>
              <w:rPr/>
            </w:pPr>
            <w:r>
              <w:rPr/>
              <w:t>Number of Shares or Other Units Outstanding</w:t>
            </w:r>
          </w:p>
        </w:tc>
        <w:tc>
          <w:tcPr>
            <w:tcW w:w="1562" w:type="dxa"/>
            <w:tcBorders/>
            <w:vAlign w:val="center"/>
          </w:tcPr>
          <w:p>
            <w:pPr>
              <w:pStyle w:val="TableHeading"/>
              <w:suppressLineNumbers/>
              <w:bidi w:val="0"/>
              <w:spacing w:before="0" w:after="283"/>
              <w:jc w:val="center"/>
              <w:rPr/>
            </w:pPr>
            <w:r>
              <w:rPr/>
              <w:t>Approximate Date of Sale</w:t>
            </w:r>
          </w:p>
        </w:tc>
        <w:tc>
          <w:tcPr>
            <w:tcW w:w="1398" w:type="dxa"/>
            <w:tcBorders/>
            <w:vAlign w:val="center"/>
          </w:tcPr>
          <w:p>
            <w:pPr>
              <w:pStyle w:val="TableHeading"/>
              <w:suppressLineNumbers/>
              <w:bidi w:val="0"/>
              <w:spacing w:before="0" w:after="283"/>
              <w:jc w:val="center"/>
              <w:rPr/>
            </w:pPr>
            <w:r>
              <w:rPr/>
              <w:t>Name the Securities Exchange</w:t>
            </w:r>
          </w:p>
        </w:tc>
      </w:tr>
      <w:tr>
        <w:trPr/>
        <w:tc>
          <w:tcPr>
            <w:tcW w:w="1556" w:type="dxa"/>
            <w:tcBorders/>
            <w:vAlign w:val="center"/>
          </w:tcPr>
          <w:p>
            <w:pPr>
              <w:pStyle w:val="TableContents"/>
              <w:bidi w:val="0"/>
              <w:spacing w:before="0" w:after="283"/>
              <w:jc w:val="left"/>
              <w:rPr/>
            </w:pPr>
            <w:r>
              <w:rPr/>
              <w:t>Common</w:t>
            </w:r>
          </w:p>
        </w:tc>
        <w:tc>
          <w:tcPr>
            <w:tcW w:w="1534" w:type="dxa"/>
            <w:tcBorders/>
            <w:vAlign w:val="center"/>
          </w:tcPr>
          <w:p>
            <w:pPr>
              <w:pStyle w:val="TableContents"/>
              <w:bidi w:val="0"/>
              <w:spacing w:before="0" w:after="0"/>
              <w:jc w:val="left"/>
              <w:rPr/>
            </w:pPr>
            <w:r>
              <w:rPr/>
              <w:t>Fidelity Brokerage Services LLC</w:t>
              <w:br/>
              <w:t>900 Salem Street</w:t>
              <w:br/>
              <w:t>Smithfield   RI   02917</w:t>
            </w:r>
          </w:p>
        </w:tc>
        <w:tc>
          <w:tcPr>
            <w:tcW w:w="1159" w:type="dxa"/>
            <w:tcBorders/>
            <w:vAlign w:val="center"/>
          </w:tcPr>
          <w:p>
            <w:pPr>
              <w:pStyle w:val="TableContents"/>
              <w:bidi w:val="0"/>
              <w:spacing w:before="0" w:after="283"/>
              <w:jc w:val="left"/>
              <w:rPr/>
            </w:pPr>
            <w:r>
              <w:rPr/>
              <w:t>50000</w:t>
            </w:r>
          </w:p>
        </w:tc>
        <w:tc>
          <w:tcPr>
            <w:tcW w:w="1452" w:type="dxa"/>
            <w:tcBorders/>
            <w:vAlign w:val="center"/>
          </w:tcPr>
          <w:p>
            <w:pPr>
              <w:pStyle w:val="TableContents"/>
              <w:bidi w:val="0"/>
              <w:spacing w:before="0" w:after="283"/>
              <w:jc w:val="left"/>
              <w:rPr/>
            </w:pPr>
            <w:r>
              <w:rPr/>
              <w:t>2044284.09</w:t>
            </w:r>
          </w:p>
        </w:tc>
        <w:tc>
          <w:tcPr>
            <w:tcW w:w="1544" w:type="dxa"/>
            <w:tcBorders/>
            <w:vAlign w:val="center"/>
          </w:tcPr>
          <w:p>
            <w:pPr>
              <w:pStyle w:val="TableContents"/>
              <w:bidi w:val="0"/>
              <w:spacing w:before="0" w:after="283"/>
              <w:jc w:val="left"/>
              <w:rPr/>
            </w:pPr>
            <w:r>
              <w:rPr/>
              <w:t>81480369</w:t>
            </w:r>
          </w:p>
        </w:tc>
        <w:tc>
          <w:tcPr>
            <w:tcW w:w="1562" w:type="dxa"/>
            <w:tcBorders/>
            <w:vAlign w:val="center"/>
          </w:tcPr>
          <w:p>
            <w:pPr>
              <w:pStyle w:val="TableContents"/>
              <w:bidi w:val="0"/>
              <w:spacing w:before="0" w:after="283"/>
              <w:jc w:val="left"/>
              <w:rPr/>
            </w:pPr>
            <w:r>
              <w:rPr/>
              <w:t>09/21/2026</w:t>
            </w:r>
          </w:p>
        </w:tc>
        <w:tc>
          <w:tcPr>
            <w:tcW w:w="139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09/21/2026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50000</w:t>
            </w:r>
          </w:p>
        </w:tc>
        <w:tc>
          <w:tcPr>
            <w:tcW w:w="1078" w:type="dxa"/>
            <w:tcBorders/>
            <w:vAlign w:val="center"/>
          </w:tcPr>
          <w:p>
            <w:pPr>
              <w:pStyle w:val="TableContents"/>
              <w:bidi w:val="0"/>
              <w:spacing w:before="0" w:after="283"/>
              <w:jc w:val="left"/>
              <w:rPr/>
            </w:pPr>
            <w:r>
              <w:rPr/>
              <w:t>09/21/2026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898"/>
        <w:gridCol w:w="6307"/>
      </w:tblGrid>
      <w:tr>
        <w:trPr/>
        <w:tc>
          <w:tcPr>
            <w:tcW w:w="3898" w:type="dxa"/>
            <w:tcBorders/>
            <w:vAlign w:val="center"/>
          </w:tcPr>
          <w:p>
            <w:pPr>
              <w:pStyle w:val="TableContents"/>
              <w:bidi w:val="0"/>
              <w:spacing w:before="0" w:after="283"/>
              <w:jc w:val="left"/>
              <w:rPr/>
            </w:pPr>
            <w:r>
              <w:rPr/>
              <w:t>Remarks</w:t>
            </w:r>
          </w:p>
        </w:tc>
        <w:tc>
          <w:tcPr>
            <w:tcW w:w="6307" w:type="dxa"/>
            <w:tcBorders/>
            <w:vAlign w:val="center"/>
          </w:tcPr>
          <w:p>
            <w:pPr>
              <w:pStyle w:val="TableContents"/>
              <w:bidi w:val="0"/>
              <w:spacing w:before="0" w:after="283"/>
              <w:jc w:val="left"/>
              <w:rPr>
                <w:sz w:val="4"/>
                <w:szCs w:val="4"/>
              </w:rPr>
            </w:pPr>
            <w:r>
              <w:rPr>
                <w:sz w:val="4"/>
                <w:szCs w:val="4"/>
              </w:rPr>
            </w:r>
          </w:p>
        </w:tc>
      </w:tr>
      <w:tr>
        <w:trPr/>
        <w:tc>
          <w:tcPr>
            <w:tcW w:w="3898" w:type="dxa"/>
            <w:tcBorders/>
            <w:vAlign w:val="center"/>
          </w:tcPr>
          <w:p>
            <w:pPr>
              <w:pStyle w:val="TableContents"/>
              <w:bidi w:val="0"/>
              <w:spacing w:before="0" w:after="283"/>
              <w:jc w:val="left"/>
              <w:rPr/>
            </w:pPr>
            <w:r>
              <w:rPr/>
              <w:t>Date of Notice</w:t>
            </w:r>
          </w:p>
        </w:tc>
        <w:tc>
          <w:tcPr>
            <w:tcW w:w="6307" w:type="dxa"/>
            <w:tcBorders/>
            <w:vAlign w:val="center"/>
          </w:tcPr>
          <w:p>
            <w:pPr>
              <w:pStyle w:val="TableContents"/>
              <w:bidi w:val="0"/>
              <w:spacing w:before="0" w:after="0"/>
              <w:jc w:val="left"/>
              <w:rPr/>
            </w:pPr>
            <w:r>
              <w:rPr/>
              <w:t>09/21/2026</w:t>
            </w:r>
          </w:p>
        </w:tc>
      </w:tr>
      <w:tr>
        <w:trPr/>
        <w:tc>
          <w:tcPr>
            <w:tcW w:w="3898" w:type="dxa"/>
            <w:tcBorders/>
            <w:vAlign w:val="center"/>
          </w:tcPr>
          <w:p>
            <w:pPr>
              <w:pStyle w:val="TableContents"/>
              <w:bidi w:val="0"/>
              <w:spacing w:before="0" w:after="283"/>
              <w:jc w:val="left"/>
              <w:rPr/>
            </w:pPr>
            <w:r>
              <w:rPr/>
              <w:t>Date of Plan Adoption or Giving of Instruction, If Relying on Rule 10b5-1</w:t>
            </w:r>
          </w:p>
        </w:tc>
        <w:tc>
          <w:tcPr>
            <w:tcW w:w="6307" w:type="dxa"/>
            <w:tcBorders/>
            <w:vAlign w:val="center"/>
          </w:tcPr>
          <w:p>
            <w:pPr>
              <w:pStyle w:val="TableContents"/>
              <w:bidi w:val="0"/>
              <w:spacing w:before="0" w:after="0"/>
              <w:jc w:val="left"/>
              <w:rPr/>
            </w:pPr>
            <w:r>
              <w:rPr/>
              <w:t>06/09/2026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98" w:type="dxa"/>
            <w:tcBorders/>
            <w:vAlign w:val="center"/>
          </w:tcPr>
          <w:p>
            <w:pPr>
              <w:pStyle w:val="TableContents"/>
              <w:bidi w:val="0"/>
              <w:spacing w:before="0" w:after="283"/>
              <w:jc w:val="left"/>
              <w:rPr/>
            </w:pPr>
            <w:r>
              <w:rPr/>
              <w:t>Signature</w:t>
            </w:r>
          </w:p>
        </w:tc>
        <w:tc>
          <w:tcPr>
            <w:tcW w:w="6307" w:type="dxa"/>
            <w:tcBorders/>
            <w:vAlign w:val="center"/>
          </w:tcPr>
          <w:p>
            <w:pPr>
              <w:pStyle w:val="TableContents"/>
              <w:bidi w:val="0"/>
              <w:spacing w:before="0" w:after="0"/>
              <w:jc w:val="left"/>
              <w:rPr/>
            </w:pPr>
            <w:r>
              <w:rPr/>
              <w:t>/s/ Gary Redman, as a duly authorized representative of Fidelity Brokerage Services LLC, as attorney-in-fact for Alexander Haro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600</Words>
  <Characters>3045</Characters>
  <CharactersWithSpaces>3589</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