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Wiadrowski David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05/29/2025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 SOUTH NORFOLK STREET, SUITE 310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2,953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24,326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6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("RSUs"). Each RSU represents a contingent right to receive one share of the Issuer's common stock upon settlement. 1/4th of the RSUs will vest quarterly from May 15, 2025, subject to the Reporting Person's continuous service through each vest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4,529 RSUs, each of which represents a contingent right to receive one share of the Issuer's common stock upon vesting.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common stock and the number of common stock underlying Chess Depositary Interests ("CDIs") as converted on a 1:3 common stock to CDI ratio. The CDIs are traded on the Australian Securities Exchange (the "ASX") and are held by CHESS Depositary Nominees Pty, Limited, a subsidiary of ASX Limited, the company that operates the ASX.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Jay Sood, Attorney-in-Fact  06/02/2025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932666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2025-06-02T18:58:36Z</dcterms:created>
  <dcterms:modified xsi:type="dcterms:W3CDTF">2025-06-02T18:58:36Z</dcterms:modified>
</cp:coreProperties>
</file>