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2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Kapoor Samir</w:t>
              </w:r>
            </w:hyperlink>
          </w:p>
        </w:tc>
        <w:tc>
          <w:tcPr>
            <w:tcW w:w="7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20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6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03/08/2023</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94403</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03/08/2023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2,984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10.23</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117,024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the Issuer's common stock underlying Chess Depositary Interests and 107,108 restricted stock units, each of which representsa contingent right to receive one share of the Issuer's common stock upon vesting.</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Menudier, as</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03/08/2023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55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2023-03-10T14:22:08Z</dcterms:created>
  <dcterms:modified xsi:type="dcterms:W3CDTF">2023-03-10T14:22:08Z</dcterms:modified>
</cp:coreProperties>
</file>