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6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03/08/2023</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94403</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2,307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163,200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156,916 restricted stock units, each of which represents a contingent right to receive one share of the Issuer's common stock uponvesting.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3232"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2023-03-10T14:21:49Z</dcterms:created>
  <dcterms:modified xsi:type="dcterms:W3CDTF">2023-03-10T14:21:49Z</dcterms:modified>
</cp:coreProperties>
</file>