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539 BRYANT STREET, SUITE 402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Life360,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360.AX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5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12/08/2022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5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480" w:type="dxa"/>
            <w:vAlign w:val="bottom"/>
            <w:tcBorders>
              <w:top w:val="single" w:sz="8" w:color="2C2C2C"/>
              <w:bottom w:val="single" w:sz="8" w:color="2C2C2C"/>
            </w:tcBorders>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4"/>
                <w:szCs w:val="4"/>
                <w:color w:val="auto"/>
              </w:rPr>
            </w:pPr>
          </w:p>
        </w:tc>
        <w:tc>
          <w:tcPr>
            <w:tcW w:w="3440" w:type="dxa"/>
            <w:vAlign w:val="bottom"/>
            <w:tcBorders>
              <w:top w:val="single" w:sz="8" w:color="2C2C2C"/>
              <w:bottom w:val="single" w:sz="8" w:color="2C2C2C"/>
            </w:tcBorders>
            <w:gridSpan w:val="7"/>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300" w:type="dxa"/>
            <w:vAlign w:val="bottom"/>
            <w:shd w:val="clear" w:color="auto" w:fill="EEEEEE"/>
          </w:tcPr>
          <w:p>
            <w:pPr>
              <w:spacing w:after="0" w:line="20" w:lineRule="exact"/>
              <w:rPr>
                <w:sz w:val="1"/>
                <w:szCs w:val="1"/>
                <w:color w:val="auto"/>
              </w:rPr>
            </w:pPr>
          </w:p>
        </w:tc>
        <w:tc>
          <w:tcPr>
            <w:tcW w:w="820" w:type="dxa"/>
            <w:vAlign w:val="bottom"/>
            <w:shd w:val="clear" w:color="auto" w:fill="EEEEEE"/>
          </w:tcPr>
          <w:p>
            <w:pPr>
              <w:spacing w:after="0" w:line="20" w:lineRule="exact"/>
              <w:rPr>
                <w:sz w:val="1"/>
                <w:szCs w:val="1"/>
                <w:color w:val="auto"/>
              </w:rPr>
            </w:pPr>
          </w:p>
        </w:tc>
        <w:tc>
          <w:tcPr>
            <w:tcW w:w="1340" w:type="dxa"/>
            <w:vAlign w:val="bottom"/>
            <w:shd w:val="clear" w:color="auto" w:fill="EEEE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80" w:type="dxa"/>
            <w:vAlign w:val="bottom"/>
            <w:gridSpan w:val="6"/>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gridSpan w:val="7"/>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80" w:type="dxa"/>
            <w:vAlign w:val="bottom"/>
            <w:gridSpan w:val="6"/>
            <w:vMerge w:val="continue"/>
          </w:tcPr>
          <w:p>
            <w:pPr>
              <w:spacing w:after="0"/>
              <w:rPr>
                <w:sz w:val="11"/>
                <w:szCs w:val="11"/>
                <w:color w:val="auto"/>
              </w:rPr>
            </w:pPr>
          </w:p>
        </w:tc>
        <w:tc>
          <w:tcPr>
            <w:tcW w:w="200" w:type="dxa"/>
            <w:vAlign w:val="bottom"/>
          </w:tcPr>
          <w:p>
            <w:pPr>
              <w:spacing w:after="0"/>
              <w:rPr>
                <w:sz w:val="11"/>
                <w:szCs w:val="11"/>
                <w:color w:val="auto"/>
              </w:rPr>
            </w:pPr>
          </w:p>
        </w:tc>
        <w:tc>
          <w:tcPr>
            <w:tcW w:w="3440" w:type="dxa"/>
            <w:vAlign w:val="bottom"/>
            <w:gridSpan w:val="7"/>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gridSpan w:val="3"/>
            <w:vMerge w:val="restart"/>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94107</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14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73" w:lineRule="exact"/>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140"/>
              <w:spacing w:after="0" w:line="113"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402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880"/>
              <w:spacing w:after="0"/>
              <w:rPr>
                <w:sz w:val="20"/>
                <w:szCs w:val="20"/>
                <w:color w:val="auto"/>
              </w:rPr>
            </w:pPr>
            <w:r>
              <w:rPr>
                <w:rFonts w:ascii="Times New Roman" w:cs="Times New Roman" w:eastAsia="Times New Roman" w:hAnsi="Times New Roman"/>
                <w:sz w:val="17"/>
                <w:szCs w:val="17"/>
                <w:color w:val="0000FF"/>
              </w:rPr>
              <w:t>12/08/2022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3,696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12.01</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3,023,159</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29,960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jc w:val="both"/>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1,686,552 shares of the Issuer's common stock underlying 5,059,656 Chess Depositary Interests ("CDIs"). The CDIs are traded on the Australian Securities Exchange (the "ASX") and are held by CHESS Depositary Nominees Pty, Limited, a subsidiary of ASX Limited, the company that operates the ASX. Also includes 82,926 restricted stock units, each of which represents a contingent right to receive one share of the Issuer's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89,880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Daniel Menudier, as</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12/12/2022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2022-12-12T15:25:25Z</dcterms:created>
  <dcterms:modified xsi:type="dcterms:W3CDTF">2022-12-12T15:25:25Z</dcterms:modified>
</cp:coreProperties>
</file>