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ind w:left="5120"/>
        <w:spacing w:after="0"/>
        <w:rPr>
          <w:sz w:val="20"/>
          <w:szCs w:val="20"/>
          <w:color w:val="auto"/>
        </w:rPr>
      </w:pPr>
      <w:r>
        <w:rPr>
          <w:rFonts w:ascii="Times New Roman" w:cs="Times New Roman" w:eastAsia="Times New Roman" w:hAnsi="Times New Roman"/>
          <w:sz w:val="15"/>
          <w:szCs w:val="15"/>
          <w:color w:val="auto"/>
        </w:rPr>
        <w:t>______________</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15, 2026</w:t>
      </w: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Life360,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61" w:lineRule="exact"/>
        <w:rPr>
          <w:sz w:val="24"/>
          <w:szCs w:val="24"/>
          <w:color w:val="auto"/>
        </w:rPr>
      </w:pPr>
    </w:p>
    <w:tbl>
      <w:tblPr>
        <w:tblLayout w:type="fixed"/>
        <w:tblInd w:w="1040" w:type="dxa"/>
        <w:tblCellMar>
          <w:top w:w="0" w:type="dxa"/>
          <w:left w:w="0" w:type="dxa"/>
          <w:bottom w:w="0" w:type="dxa"/>
          <w:right w:w="0" w:type="dxa"/>
        </w:tblCellMar>
      </w:tblPr>
      <w:tr>
        <w:trPr>
          <w:trHeight w:val="197"/>
        </w:trPr>
        <w:tc>
          <w:tcPr>
            <w:tcW w:w="2280" w:type="dxa"/>
            <w:vAlign w:val="bottom"/>
          </w:tcPr>
          <w:p>
            <w:pPr>
              <w:jc w:val="center"/>
              <w:ind w:right="50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82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001-42120</w:t>
            </w:r>
          </w:p>
        </w:tc>
        <w:tc>
          <w:tcPr>
            <w:tcW w:w="1800" w:type="dxa"/>
            <w:vAlign w:val="bottom"/>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rPr>
              <w:t>26-0197666</w:t>
            </w:r>
          </w:p>
        </w:tc>
      </w:tr>
      <w:tr>
        <w:trPr>
          <w:trHeight w:val="198"/>
        </w:trPr>
        <w:tc>
          <w:tcPr>
            <w:tcW w:w="2280" w:type="dxa"/>
            <w:vAlign w:val="bottom"/>
          </w:tcPr>
          <w:p>
            <w:pPr>
              <w:jc w:val="center"/>
              <w:ind w:right="52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48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(Commission File Number)</w:t>
            </w:r>
          </w:p>
        </w:tc>
        <w:tc>
          <w:tcPr>
            <w:tcW w:w="1800" w:type="dxa"/>
            <w:vAlign w:val="bottom"/>
          </w:tcPr>
          <w:p>
            <w:pPr>
              <w:jc w:val="center"/>
              <w:ind w:left="649"/>
              <w:spacing w:after="0"/>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228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820" w:type="dxa"/>
            <w:vAlign w:val="bottom"/>
          </w:tcPr>
          <w:p>
            <w:pPr>
              <w:spacing w:after="0"/>
              <w:rPr>
                <w:sz w:val="16"/>
                <w:szCs w:val="16"/>
                <w:color w:val="auto"/>
              </w:rPr>
            </w:pPr>
          </w:p>
        </w:tc>
        <w:tc>
          <w:tcPr>
            <w:tcW w:w="1800" w:type="dxa"/>
            <w:vAlign w:val="bottom"/>
          </w:tcPr>
          <w:p>
            <w:pPr>
              <w:jc w:val="center"/>
              <w:ind w:left="669"/>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91"/>
        </w:trPr>
        <w:tc>
          <w:tcPr>
            <w:tcW w:w="2280" w:type="dxa"/>
            <w:vAlign w:val="bottom"/>
          </w:tcPr>
          <w:p>
            <w:pPr>
              <w:spacing w:after="0"/>
              <w:rPr>
                <w:sz w:val="24"/>
                <w:szCs w:val="24"/>
                <w:color w:val="auto"/>
              </w:rPr>
            </w:pPr>
          </w:p>
        </w:tc>
        <w:tc>
          <w:tcPr>
            <w:tcW w:w="48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1900 South Norfolk Street, Suite 310</w:t>
            </w:r>
          </w:p>
        </w:tc>
        <w:tc>
          <w:tcPr>
            <w:tcW w:w="1800" w:type="dxa"/>
            <w:vAlign w:val="bottom"/>
          </w:tcPr>
          <w:p>
            <w:pPr>
              <w:spacing w:after="0"/>
              <w:rPr>
                <w:sz w:val="24"/>
                <w:szCs w:val="24"/>
                <w:color w:val="auto"/>
              </w:rPr>
            </w:pPr>
          </w:p>
        </w:tc>
      </w:tr>
      <w:tr>
        <w:trPr>
          <w:trHeight w:val="186"/>
        </w:trPr>
        <w:tc>
          <w:tcPr>
            <w:tcW w:w="2280" w:type="dxa"/>
            <w:vAlign w:val="bottom"/>
          </w:tcPr>
          <w:p>
            <w:pPr>
              <w:spacing w:after="0"/>
              <w:rPr>
                <w:sz w:val="16"/>
                <w:szCs w:val="16"/>
                <w:color w:val="auto"/>
              </w:rPr>
            </w:pPr>
          </w:p>
        </w:tc>
        <w:tc>
          <w:tcPr>
            <w:tcW w:w="48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San Mateo, CA 94403</w:t>
            </w:r>
          </w:p>
        </w:tc>
        <w:tc>
          <w:tcPr>
            <w:tcW w:w="1800" w:type="dxa"/>
            <w:vAlign w:val="bottom"/>
          </w:tcPr>
          <w:p>
            <w:pPr>
              <w:spacing w:after="0"/>
              <w:rPr>
                <w:sz w:val="16"/>
                <w:szCs w:val="16"/>
                <w:color w:val="auto"/>
              </w:rPr>
            </w:pPr>
          </w:p>
        </w:tc>
      </w:tr>
      <w:tr>
        <w:trPr>
          <w:trHeight w:val="268"/>
        </w:trPr>
        <w:tc>
          <w:tcPr>
            <w:tcW w:w="2280" w:type="dxa"/>
            <w:vAlign w:val="bottom"/>
          </w:tcPr>
          <w:p>
            <w:pPr>
              <w:spacing w:after="0"/>
              <w:rPr>
                <w:sz w:val="23"/>
                <w:szCs w:val="23"/>
                <w:color w:val="auto"/>
              </w:rPr>
            </w:pPr>
          </w:p>
        </w:tc>
        <w:tc>
          <w:tcPr>
            <w:tcW w:w="48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9"/>
              </w:rPr>
              <w:t>(Address of principal executive offices, including zip code)</w:t>
            </w:r>
            <w:r>
              <w:rPr>
                <w:rFonts w:ascii="Times New Roman" w:cs="Times New Roman" w:eastAsia="Times New Roman" w:hAnsi="Times New Roman"/>
                <w:sz w:val="18"/>
                <w:szCs w:val="18"/>
                <w:color w:val="auto"/>
                <w:w w:val="99"/>
                <w:vertAlign w:val="superscript"/>
              </w:rPr>
              <w:t>(1)</w:t>
            </w:r>
          </w:p>
        </w:tc>
        <w:tc>
          <w:tcPr>
            <w:tcW w:w="1800" w:type="dxa"/>
            <w:vAlign w:val="bottom"/>
          </w:tcPr>
          <w:p>
            <w:pPr>
              <w:spacing w:after="0"/>
              <w:rPr>
                <w:sz w:val="23"/>
                <w:szCs w:val="23"/>
                <w:color w:val="auto"/>
              </w:rPr>
            </w:pPr>
          </w:p>
        </w:tc>
      </w:tr>
      <w:tr>
        <w:trPr>
          <w:trHeight w:val="358"/>
        </w:trPr>
        <w:tc>
          <w:tcPr>
            <w:tcW w:w="2280" w:type="dxa"/>
            <w:vAlign w:val="bottom"/>
          </w:tcPr>
          <w:p>
            <w:pPr>
              <w:spacing w:after="0"/>
              <w:rPr>
                <w:sz w:val="24"/>
                <w:szCs w:val="24"/>
                <w:color w:val="auto"/>
              </w:rPr>
            </w:pPr>
          </w:p>
        </w:tc>
        <w:tc>
          <w:tcPr>
            <w:tcW w:w="48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(415) 484-5244</w:t>
            </w:r>
          </w:p>
        </w:tc>
        <w:tc>
          <w:tcPr>
            <w:tcW w:w="1800" w:type="dxa"/>
            <w:vAlign w:val="bottom"/>
          </w:tcPr>
          <w:p>
            <w:pPr>
              <w:spacing w:after="0"/>
              <w:rPr>
                <w:sz w:val="24"/>
                <w:szCs w:val="24"/>
                <w:color w:val="auto"/>
              </w:rPr>
            </w:pPr>
          </w:p>
        </w:tc>
      </w:tr>
      <w:tr>
        <w:trPr>
          <w:trHeight w:val="212"/>
        </w:trPr>
        <w:tc>
          <w:tcPr>
            <w:tcW w:w="2280" w:type="dxa"/>
            <w:vAlign w:val="bottom"/>
          </w:tcPr>
          <w:p>
            <w:pPr>
              <w:spacing w:after="0"/>
              <w:rPr>
                <w:sz w:val="18"/>
                <w:szCs w:val="18"/>
                <w:color w:val="auto"/>
              </w:rPr>
            </w:pPr>
          </w:p>
        </w:tc>
        <w:tc>
          <w:tcPr>
            <w:tcW w:w="482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800" w:type="dxa"/>
            <w:vAlign w:val="bottom"/>
          </w:tcPr>
          <w:p>
            <w:pPr>
              <w:spacing w:after="0"/>
              <w:rPr>
                <w:sz w:val="18"/>
                <w:szCs w:val="18"/>
                <w:color w:val="auto"/>
              </w:rPr>
            </w:pPr>
          </w:p>
        </w:tc>
      </w:tr>
      <w:tr>
        <w:trPr>
          <w:trHeight w:val="414"/>
        </w:trPr>
        <w:tc>
          <w:tcPr>
            <w:tcW w:w="2280" w:type="dxa"/>
            <w:vAlign w:val="bottom"/>
          </w:tcPr>
          <w:p>
            <w:pPr>
              <w:spacing w:after="0"/>
              <w:rPr>
                <w:sz w:val="24"/>
                <w:szCs w:val="24"/>
                <w:color w:val="auto"/>
              </w:rPr>
            </w:pPr>
          </w:p>
        </w:tc>
        <w:tc>
          <w:tcPr>
            <w:tcW w:w="48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1800" w:type="dxa"/>
            <w:vAlign w:val="bottom"/>
          </w:tcPr>
          <w:p>
            <w:pPr>
              <w:spacing w:after="0"/>
              <w:rPr>
                <w:sz w:val="24"/>
                <w:szCs w:val="24"/>
                <w:color w:val="auto"/>
              </w:rPr>
            </w:pPr>
          </w:p>
        </w:tc>
      </w:tr>
      <w:tr>
        <w:trPr>
          <w:trHeight w:val="212"/>
        </w:trPr>
        <w:tc>
          <w:tcPr>
            <w:tcW w:w="2280" w:type="dxa"/>
            <w:vAlign w:val="bottom"/>
          </w:tcPr>
          <w:p>
            <w:pPr>
              <w:spacing w:after="0"/>
              <w:rPr>
                <w:sz w:val="18"/>
                <w:szCs w:val="18"/>
                <w:color w:val="auto"/>
              </w:rPr>
            </w:pPr>
          </w:p>
        </w:tc>
        <w:tc>
          <w:tcPr>
            <w:tcW w:w="482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1800" w:type="dxa"/>
            <w:vAlign w:val="bottom"/>
          </w:tcPr>
          <w:p>
            <w:pPr>
              <w:spacing w:after="0"/>
              <w:rPr>
                <w:sz w:val="18"/>
                <w:szCs w:val="18"/>
                <w:color w:val="auto"/>
              </w:rPr>
            </w:pPr>
          </w:p>
        </w:tc>
      </w:tr>
    </w:tbl>
    <w:p>
      <w:pPr>
        <w:spacing w:after="0" w:line="64"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5"/>
          <w:szCs w:val="15"/>
          <w:color w:val="auto"/>
        </w:rPr>
        <w:t>______________</w:t>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620" w:hanging="376"/>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25" w:lineRule="exact"/>
        <w:rPr>
          <w:rFonts w:ascii="MS PGothic" w:cs="MS PGothic" w:eastAsia="MS PGothic" w:hAnsi="MS PGothic"/>
          <w:sz w:val="14"/>
          <w:szCs w:val="14"/>
          <w:color w:val="auto"/>
        </w:rPr>
      </w:pPr>
    </w:p>
    <w:p>
      <w:pPr>
        <w:ind w:left="620" w:hanging="376"/>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25" w:lineRule="exact"/>
        <w:rPr>
          <w:rFonts w:ascii="MS PGothic" w:cs="MS PGothic" w:eastAsia="MS PGothic" w:hAnsi="MS PGothic"/>
          <w:sz w:val="14"/>
          <w:szCs w:val="14"/>
          <w:color w:val="auto"/>
        </w:rPr>
      </w:pPr>
    </w:p>
    <w:p>
      <w:pPr>
        <w:ind w:left="620" w:hanging="376"/>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5" w:lineRule="exact"/>
        <w:rPr>
          <w:rFonts w:ascii="MS PGothic" w:cs="MS PGothic" w:eastAsia="MS PGothic" w:hAnsi="MS PGothic"/>
          <w:sz w:val="14"/>
          <w:szCs w:val="14"/>
          <w:color w:val="auto"/>
        </w:rPr>
      </w:pPr>
    </w:p>
    <w:p>
      <w:pPr>
        <w:ind w:left="620" w:hanging="376"/>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311"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1"/>
        </w:trPr>
        <w:tc>
          <w:tcPr>
            <w:tcW w:w="4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LIF</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7"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46" w:lineRule="exact"/>
        <w:rPr>
          <w:sz w:val="24"/>
          <w:szCs w:val="24"/>
          <w:color w:val="auto"/>
        </w:rPr>
      </w:pPr>
    </w:p>
    <w:p>
      <w:pPr>
        <w:jc w:val="both"/>
        <w:ind w:left="20" w:right="20"/>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84" w:lineRule="exact"/>
        <w:rPr>
          <w:sz w:val="24"/>
          <w:szCs w:val="24"/>
          <w:color w:val="auto"/>
        </w:rPr>
      </w:pPr>
    </w:p>
    <w:p>
      <w:pPr>
        <w:ind w:left="260" w:right="320" w:hanging="255"/>
        <w:spacing w:after="0" w:line="300" w:lineRule="auto"/>
        <w:tabs>
          <w:tab w:leader="none" w:pos="254"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are a Delaware corporation with a globally distributed workforce and no corporate headquarters. Under the Securities and Exchange Commission's rules, we are required to designate a “principal executive office.” For purposes of this report, we have designated our office in San Mateo, California as our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8.01</w:t>
        <w:tab/>
        <w:t>Other Events</w:t>
      </w:r>
    </w:p>
    <w:p>
      <w:pPr>
        <w:spacing w:after="0" w:line="96" w:lineRule="exact"/>
        <w:rPr>
          <w:sz w:val="24"/>
          <w:szCs w:val="24"/>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May 17, 2026, Life360, Inc. (the “Company”) issued a press release (the “Press Release”) announcing that its Board of Directors has approved a new repurchase program authorizing the deployment of up to $225 million to repurchase the Company’s outstanding common stock. Repurchases under the newly authorized program may be made from time to time on the open market at prevailing market prices, in privately negotiated transactions, in block trades, and/or through other legally permissible means, depending on market conditions and in accordance with applicable rules and regulations (including through Rule 10b5-1 trading plans and under Rule 10b-18 of the Exchange Act).</w:t>
      </w:r>
    </w:p>
    <w:p>
      <w:pPr>
        <w:spacing w:after="0" w:line="225" w:lineRule="exact"/>
        <w:rPr>
          <w:sz w:val="24"/>
          <w:szCs w:val="24"/>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The timing and amount of common stock repurchased will depend on various factors, including price, corporate and regulatory requirements, market conditions, and other corporate liquidity requirements and priorities.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repurchase program does not obligate the Company to acquire a specific dollar amount or number of shares and may be modified, suspended, or discontinued at any time.</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 copy of the Press Release is attached hereto as Exhibit 99.1 and incorporated by reference into this Item 8.01.</w:t>
      </w:r>
    </w:p>
    <w:p>
      <w:pPr>
        <w:spacing w:after="0" w:line="3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ectPr>
          <w:pgSz w:w="11900" w:h="16838" w:orient="portrait"/>
          <w:cols w:equalWidth="0" w:num="1">
            <w:col w:w="11280"/>
          </w:cols>
          <w:pgMar w:left="300" w:top="1078" w:right="319" w:bottom="0" w:gutter="0" w:footer="0" w:header="0"/>
        </w:sectPr>
      </w:pP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 Exhibits</w:t>
      </w:r>
    </w:p>
    <w:p>
      <w:pPr>
        <w:sectPr>
          <w:pgSz w:w="11900" w:h="16838" w:orient="portrait"/>
          <w:cols w:equalWidth="0" w:num="1">
            <w:col w:w="11280"/>
          </w:cols>
          <w:pgMar w:left="300" w:top="1078" w:right="319" w:bottom="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149"/>
        </w:trPr>
        <w:tc>
          <w:tcPr>
            <w:tcW w:w="10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62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42"/>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1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9"/>
              </w:rPr>
              <w:t>Press Release dated May 17, 2026</w:t>
            </w:r>
          </w:p>
        </w:tc>
        <w:tc>
          <w:tcPr>
            <w:tcW w:w="4320" w:type="dxa"/>
            <w:vAlign w:val="bottom"/>
          </w:tcPr>
          <w:p>
            <w:pPr>
              <w:spacing w:after="0"/>
              <w:rPr>
                <w:sz w:val="21"/>
                <w:szCs w:val="21"/>
                <w:color w:val="auto"/>
              </w:rPr>
            </w:pPr>
          </w:p>
        </w:tc>
      </w:tr>
      <w:tr>
        <w:trPr>
          <w:trHeight w:val="319"/>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 the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7780" w:type="dxa"/>
            <w:vAlign w:val="bottom"/>
            <w:gridSpan w:val="2"/>
          </w:tcPr>
          <w:p>
            <w:pPr>
              <w:ind w:left="1720"/>
              <w:spacing w:after="0"/>
              <w:rPr>
                <w:sz w:val="20"/>
                <w:szCs w:val="20"/>
                <w:color w:val="auto"/>
              </w:rPr>
            </w:pPr>
            <w:r>
              <w:rPr>
                <w:rFonts w:ascii="Times New Roman" w:cs="Times New Roman" w:eastAsia="Times New Roman" w:hAnsi="Times New Roman"/>
                <w:sz w:val="14"/>
                <w:szCs w:val="14"/>
                <w:b w:val="1"/>
                <w:bCs w:val="1"/>
                <w:color w:val="auto"/>
              </w:rPr>
              <w:t>LIFE360, INC.</w:t>
            </w:r>
          </w:p>
        </w:tc>
      </w:tr>
      <w:tr>
        <w:trPr>
          <w:trHeight w:val="382"/>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28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May 17, 2026</w:t>
            </w:r>
          </w:p>
        </w:tc>
        <w:tc>
          <w:tcPr>
            <w:tcW w:w="228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Russell Burke</w:t>
            </w:r>
          </w:p>
        </w:tc>
      </w:tr>
      <w:tr>
        <w:trPr>
          <w:trHeight w:val="175"/>
        </w:trPr>
        <w:tc>
          <w:tcPr>
            <w:tcW w:w="6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Russell Burke</w:t>
            </w:r>
          </w:p>
        </w:tc>
      </w:tr>
    </w:tbl>
    <w:p>
      <w:pPr>
        <w:spacing w:after="0" w:line="6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ectPr>
          <w:pgSz w:w="11900" w:h="16838" w:orient="portrait"/>
          <w:cols w:equalWidth="0" w:num="1">
            <w:col w:w="11280"/>
          </w:cols>
          <w:pgMar w:left="300" w:top="343"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2026-05-18T08:11:27Z</dcterms:created>
  <dcterms:modified xsi:type="dcterms:W3CDTF">2026-05-18T08:11:27Z</dcterms:modified>
</cp:coreProperties>
</file>