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Life360,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LIF</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00" w:type="dxa"/>
            <w:vAlign w:val="bottom"/>
          </w:tcPr>
          <w:p>
            <w:pPr>
              <w:spacing w:after="0"/>
              <w:rPr>
                <w:sz w:val="18"/>
                <w:szCs w:val="18"/>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12/09/2024</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94403</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12/09/2024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12,000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161,170</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12/10/2024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3,104</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43.97</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158,066</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3.58</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12/09/2024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12,000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05/19/2030</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480,514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91,008 restricted stock units previously granted, each of which represents a contingent right to receive one share of the Issuer's common stock upon vesting.</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$43.53 to $44.23,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and became exercisable as to 1/48th of the total number of shares in equal monthly installments beginning on June 19, 2020, until such time as the option became 100% vested, subject to the continuing employment of the Reporting Person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Jay Sood, Attorney-in-Fact</w:t>
            </w: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12/11/2024</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2024-12-11T17:48:38Z</dcterms:created>
  <dcterms:modified xsi:type="dcterms:W3CDTF">2024-12-11T17:48:38Z</dcterms:modified>
</cp:coreProperties>
</file>