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8134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81342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6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Synge James</w:t>
              </w:r>
            </w:hyperlink>
          </w:p>
        </w:tc>
        <w:tc>
          <w:tcPr>
            <w:tcW w:w="84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Life360,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LIF</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8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00" w:type="dxa"/>
            <w:vAlign w:val="bottom"/>
            <w:tcBorders>
              <w:bottom w:val="single" w:sz="8" w:color="0000EE"/>
            </w:tcBorders>
          </w:tcPr>
          <w:p>
            <w:pPr>
              <w:spacing w:after="0"/>
              <w:rPr>
                <w:sz w:val="6"/>
                <w:szCs w:val="6"/>
                <w:color w:val="auto"/>
              </w:rPr>
            </w:pPr>
          </w:p>
        </w:tc>
        <w:tc>
          <w:tcPr>
            <w:tcW w:w="26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84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6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12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6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20" w:type="dxa"/>
            <w:vAlign w:val="bottom"/>
            <w:tcBorders>
              <w:top w:val="single" w:sz="8" w:color="EEEEEE"/>
            </w:tcBorders>
          </w:tcPr>
          <w:p>
            <w:pPr>
              <w:spacing w:after="0"/>
              <w:rPr>
                <w:sz w:val="2"/>
                <w:szCs w:val="2"/>
                <w:color w:val="auto"/>
              </w:rPr>
            </w:pPr>
          </w:p>
        </w:tc>
        <w:tc>
          <w:tcPr>
            <w:tcW w:w="40" w:type="dxa"/>
            <w:vAlign w:val="bottom"/>
            <w:tcBorders>
              <w:top w:val="single" w:sz="8" w:color="EEEEEE"/>
            </w:tcBorders>
          </w:tcPr>
          <w:p>
            <w:pPr>
              <w:spacing w:after="0"/>
              <w:rPr>
                <w:sz w:val="2"/>
                <w:szCs w:val="2"/>
                <w:color w:val="auto"/>
              </w:rPr>
            </w:pPr>
          </w:p>
        </w:tc>
        <w:tc>
          <w:tcPr>
            <w:tcW w:w="84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16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840" w:type="dxa"/>
            <w:vAlign w:val="bottom"/>
            <w:vMerge w:val="restart"/>
          </w:tcPr>
          <w:p>
            <w:pPr>
              <w:ind w:left="6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12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08/15/2025</w:t>
            </w:r>
          </w:p>
        </w:tc>
        <w:tc>
          <w:tcPr>
            <w:tcW w:w="26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0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LIFE360, INC.</w:t>
            </w:r>
          </w:p>
        </w:tc>
        <w:tc>
          <w:tcPr>
            <w:tcW w:w="1640" w:type="dxa"/>
            <w:vAlign w:val="bottom"/>
          </w:tcPr>
          <w:p>
            <w:pPr>
              <w:spacing w:after="0"/>
              <w:rPr>
                <w:sz w:val="11"/>
                <w:szCs w:val="11"/>
                <w:color w:val="auto"/>
              </w:rPr>
            </w:pPr>
          </w:p>
        </w:tc>
        <w:tc>
          <w:tcPr>
            <w:tcW w:w="1260" w:type="dxa"/>
            <w:vAlign w:val="bottom"/>
            <w:gridSpan w:val="3"/>
            <w:vMerge w:val="continue"/>
          </w:tcPr>
          <w:p>
            <w:pPr>
              <w:spacing w:after="0"/>
              <w:rPr>
                <w:sz w:val="11"/>
                <w:szCs w:val="11"/>
                <w:color w:val="auto"/>
              </w:rPr>
            </w:pPr>
          </w:p>
        </w:tc>
        <w:tc>
          <w:tcPr>
            <w:tcW w:w="26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000" w:type="dxa"/>
            <w:vAlign w:val="bottom"/>
            <w:gridSpan w:val="3"/>
            <w:vMerge w:val="continue"/>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1900 SOUTH NORFOLK STREET, SUITE 310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26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SAN MATEO</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94403</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4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8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08/15/2025</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24,919</w:t>
            </w:r>
            <w:r>
              <w:rPr>
                <w:rFonts w:ascii="Times New Roman" w:cs="Times New Roman" w:eastAsia="Times New Roman" w:hAnsi="Times New Roman"/>
                <w:sz w:val="22"/>
                <w:szCs w:val="22"/>
                <w:color w:val="008000"/>
                <w:w w:val="93"/>
                <w:vertAlign w:val="superscript"/>
              </w:rPr>
              <w:t>(2)</w:t>
            </w:r>
          </w:p>
        </w:tc>
        <w:tc>
          <w:tcPr>
            <w:tcW w:w="4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900" w:type="dxa"/>
            <w:vAlign w:val="bottom"/>
            <w:tcBorders>
              <w:bottom w:val="single" w:sz="8" w:color="2C2C2C"/>
            </w:tcBorders>
            <w:gridSpan w:val="3"/>
          </w:tcPr>
          <w:p>
            <w:pPr>
              <w:jc w:val="center"/>
              <w:spacing w:after="0" w:line="319" w:lineRule="exact"/>
              <w:rPr>
                <w:sz w:val="20"/>
                <w:szCs w:val="20"/>
                <w:color w:val="auto"/>
              </w:rPr>
            </w:pPr>
            <w:r>
              <w:rPr>
                <w:rFonts w:ascii="Arial" w:cs="Arial" w:eastAsia="Arial" w:hAnsi="Arial"/>
                <w:sz w:val="34"/>
                <w:szCs w:val="34"/>
                <w:color w:val="000000"/>
                <w:w w:val="85"/>
                <w:vertAlign w:val="subscript"/>
              </w:rPr>
              <w:t>$</w:t>
            </w:r>
            <w:r>
              <w:rPr>
                <w:rFonts w:ascii="Times New Roman" w:cs="Times New Roman" w:eastAsia="Times New Roman" w:hAnsi="Times New Roman"/>
                <w:sz w:val="34"/>
                <w:szCs w:val="34"/>
                <w:color w:val="0000FF"/>
                <w:w w:val="85"/>
                <w:vertAlign w:val="subscript"/>
              </w:rPr>
              <w:t>84.23</w:t>
            </w:r>
            <w:r>
              <w:rPr>
                <w:rFonts w:ascii="Times New Roman" w:cs="Times New Roman" w:eastAsia="Times New Roman" w:hAnsi="Times New Roman"/>
                <w:sz w:val="11"/>
                <w:szCs w:val="11"/>
                <w:color w:val="008000"/>
                <w:w w:val="85"/>
              </w:rPr>
              <w:t>(3)(4)</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1"/>
              </w:rPr>
              <w:t>219,835</w:t>
            </w:r>
            <w:r>
              <w:rPr>
                <w:rFonts w:ascii="Times New Roman" w:cs="Times New Roman" w:eastAsia="Times New Roman" w:hAnsi="Times New Roman"/>
                <w:sz w:val="22"/>
                <w:szCs w:val="22"/>
                <w:color w:val="008000"/>
                <w:w w:val="91"/>
                <w:vertAlign w:val="superscript"/>
              </w:rPr>
              <w:t>(5)(6)</w:t>
            </w:r>
          </w:p>
        </w:tc>
        <w:tc>
          <w:tcPr>
            <w:tcW w:w="920" w:type="dxa"/>
            <w:vAlign w:val="bottom"/>
            <w:tcBorders>
              <w:bottom w:val="single" w:sz="8" w:color="2C2C2C"/>
            </w:tcBorders>
          </w:tcPr>
          <w:p>
            <w:pPr>
              <w:jc w:val="center"/>
              <w:ind w:right="32"/>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08/15/2025</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8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4"/>
                <w:vertAlign w:val="subscript"/>
              </w:rPr>
              <w:t>81</w:t>
            </w:r>
            <w:r>
              <w:rPr>
                <w:rFonts w:ascii="Times New Roman" w:cs="Times New Roman" w:eastAsia="Times New Roman" w:hAnsi="Times New Roman"/>
                <w:sz w:val="11"/>
                <w:szCs w:val="11"/>
                <w:color w:val="008000"/>
                <w:w w:val="84"/>
              </w:rPr>
              <w:t>(2)</w:t>
            </w:r>
          </w:p>
        </w:tc>
        <w:tc>
          <w:tcPr>
            <w:tcW w:w="4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9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85.25</w:t>
            </w:r>
            <w:r>
              <w:rPr>
                <w:rFonts w:ascii="Times New Roman" w:cs="Times New Roman" w:eastAsia="Times New Roman" w:hAnsi="Times New Roman"/>
                <w:sz w:val="22"/>
                <w:szCs w:val="22"/>
                <w:color w:val="008000"/>
                <w:w w:val="92"/>
                <w:vertAlign w:val="superscript"/>
              </w:rPr>
              <w:t>(4)</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1"/>
              </w:rPr>
              <w:t>219,754</w:t>
            </w:r>
            <w:r>
              <w:rPr>
                <w:rFonts w:ascii="Times New Roman" w:cs="Times New Roman" w:eastAsia="Times New Roman" w:hAnsi="Times New Roman"/>
                <w:sz w:val="22"/>
                <w:szCs w:val="22"/>
                <w:color w:val="008000"/>
                <w:w w:val="91"/>
                <w:vertAlign w:val="superscript"/>
              </w:rPr>
              <w:t>(5)(6)</w:t>
            </w:r>
          </w:p>
        </w:tc>
        <w:tc>
          <w:tcPr>
            <w:tcW w:w="920" w:type="dxa"/>
            <w:vAlign w:val="bottom"/>
            <w:tcBorders>
              <w:bottom w:val="single" w:sz="8" w:color="2C2C2C"/>
            </w:tcBorders>
          </w:tcPr>
          <w:p>
            <w:pPr>
              <w:jc w:val="center"/>
              <w:ind w:right="32"/>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08/18/2025</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25,000</w:t>
            </w:r>
            <w:r>
              <w:rPr>
                <w:rFonts w:ascii="Times New Roman" w:cs="Times New Roman" w:eastAsia="Times New Roman" w:hAnsi="Times New Roman"/>
                <w:sz w:val="22"/>
                <w:szCs w:val="22"/>
                <w:color w:val="008000"/>
                <w:w w:val="93"/>
                <w:vertAlign w:val="superscript"/>
              </w:rPr>
              <w:t>(2)</w:t>
            </w:r>
          </w:p>
        </w:tc>
        <w:tc>
          <w:tcPr>
            <w:tcW w:w="4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900" w:type="dxa"/>
            <w:vAlign w:val="bottom"/>
            <w:tcBorders>
              <w:bottom w:val="single" w:sz="8" w:color="2C2C2C"/>
            </w:tcBorders>
            <w:gridSpan w:val="3"/>
          </w:tcPr>
          <w:p>
            <w:pPr>
              <w:jc w:val="center"/>
              <w:spacing w:after="0" w:line="319" w:lineRule="exact"/>
              <w:rPr>
                <w:sz w:val="20"/>
                <w:szCs w:val="20"/>
                <w:color w:val="auto"/>
              </w:rPr>
            </w:pPr>
            <w:r>
              <w:rPr>
                <w:rFonts w:ascii="Arial" w:cs="Arial" w:eastAsia="Arial" w:hAnsi="Arial"/>
                <w:sz w:val="34"/>
                <w:szCs w:val="34"/>
                <w:color w:val="000000"/>
                <w:w w:val="84"/>
                <w:vertAlign w:val="subscript"/>
              </w:rPr>
              <w:t>$</w:t>
            </w:r>
            <w:r>
              <w:rPr>
                <w:rFonts w:ascii="Times New Roman" w:cs="Times New Roman" w:eastAsia="Times New Roman" w:hAnsi="Times New Roman"/>
                <w:sz w:val="34"/>
                <w:szCs w:val="34"/>
                <w:color w:val="0000FF"/>
                <w:w w:val="84"/>
                <w:vertAlign w:val="subscript"/>
              </w:rPr>
              <w:t>85.8</w:t>
            </w:r>
            <w:r>
              <w:rPr>
                <w:rFonts w:ascii="Times New Roman" w:cs="Times New Roman" w:eastAsia="Times New Roman" w:hAnsi="Times New Roman"/>
                <w:sz w:val="11"/>
                <w:szCs w:val="11"/>
                <w:color w:val="008000"/>
                <w:w w:val="84"/>
              </w:rPr>
              <w:t>(7)(8)</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1"/>
              </w:rPr>
              <w:t>194,754</w:t>
            </w:r>
            <w:r>
              <w:rPr>
                <w:rFonts w:ascii="Times New Roman" w:cs="Times New Roman" w:eastAsia="Times New Roman" w:hAnsi="Times New Roman"/>
                <w:sz w:val="22"/>
                <w:szCs w:val="22"/>
                <w:color w:val="008000"/>
                <w:w w:val="91"/>
                <w:vertAlign w:val="superscript"/>
              </w:rPr>
              <w:t>(5)(6)</w:t>
            </w:r>
          </w:p>
        </w:tc>
        <w:tc>
          <w:tcPr>
            <w:tcW w:w="920" w:type="dxa"/>
            <w:vAlign w:val="bottom"/>
            <w:tcBorders>
              <w:bottom w:val="single" w:sz="8" w:color="2C2C2C"/>
            </w:tcBorders>
          </w:tcPr>
          <w:p>
            <w:pPr>
              <w:jc w:val="center"/>
              <w:ind w:right="32"/>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vMerge w:val="restart"/>
          </w:tcPr>
          <w:p>
            <w:pPr>
              <w:jc w:val="center"/>
              <w:ind w:right="337"/>
              <w:spacing w:after="0"/>
              <w:rPr>
                <w:sz w:val="20"/>
                <w:szCs w:val="20"/>
                <w:color w:val="auto"/>
              </w:rPr>
            </w:pPr>
            <w:r>
              <w:rPr>
                <w:rFonts w:ascii="Times New Roman" w:cs="Times New Roman" w:eastAsia="Times New Roman" w:hAnsi="Times New Roman"/>
                <w:sz w:val="17"/>
                <w:szCs w:val="17"/>
                <w:color w:val="0000FF"/>
                <w:w w:val="99"/>
              </w:rPr>
              <w:t>3,966</w:t>
            </w:r>
          </w:p>
        </w:tc>
        <w:tc>
          <w:tcPr>
            <w:tcW w:w="920" w:type="dxa"/>
            <w:vAlign w:val="bottom"/>
            <w:vMerge w:val="restart"/>
          </w:tcPr>
          <w:p>
            <w:pPr>
              <w:jc w:val="center"/>
              <w:ind w:right="32"/>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ICCA</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Labs,</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20" w:type="dxa"/>
            <w:vAlign w:val="bottom"/>
          </w:tcPr>
          <w:p>
            <w:pPr>
              <w:spacing w:after="0"/>
              <w:rPr>
                <w:sz w:val="8"/>
                <w:szCs w:val="8"/>
                <w:color w:val="auto"/>
              </w:rPr>
            </w:pPr>
          </w:p>
        </w:tc>
        <w:tc>
          <w:tcPr>
            <w:tcW w:w="920" w:type="dxa"/>
            <w:vAlign w:val="bottom"/>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3"/>
          </w:tcPr>
          <w:p>
            <w:pPr>
              <w:spacing w:after="0" w:line="281" w:lineRule="exact"/>
              <w:rPr>
                <w:sz w:val="20"/>
                <w:szCs w:val="20"/>
                <w:color w:val="auto"/>
              </w:rPr>
            </w:pPr>
            <w:r>
              <w:rPr>
                <w:rFonts w:ascii="Times New Roman" w:cs="Times New Roman" w:eastAsia="Times New Roman" w:hAnsi="Times New Roman"/>
                <w:sz w:val="32"/>
                <w:szCs w:val="32"/>
                <w:color w:val="0000FF"/>
                <w:vertAlign w:val="subscript"/>
              </w:rPr>
              <w:t>LLC</w:t>
            </w:r>
            <w:r>
              <w:rPr>
                <w:rFonts w:ascii="Times New Roman" w:cs="Times New Roman" w:eastAsia="Times New Roman" w:hAnsi="Times New Roman"/>
                <w:sz w:val="11"/>
                <w:szCs w:val="11"/>
                <w:color w:val="008000"/>
              </w:rPr>
              <w:t>(9)</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0" w:type="dxa"/>
            <w:vAlign w:val="bottom"/>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80" w:type="dxa"/>
            <w:vAlign w:val="bottom"/>
          </w:tcPr>
          <w:p>
            <w:pPr>
              <w:ind w:left="2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60" w:type="dxa"/>
            <w:vAlign w:val="bottom"/>
          </w:tcPr>
          <w:p>
            <w:pPr>
              <w:spacing w:after="0"/>
              <w:rPr>
                <w:sz w:val="14"/>
                <w:szCs w:val="14"/>
                <w:color w:val="auto"/>
              </w:rPr>
            </w:pP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being reported on this Form 4 is the sale of Chess Depositary Interests ("CDIs") as converted on a 1:3 common stock to CDI ratio. The CDIs were traded on the Australian Securities Exchange (the "ASX") and were held by CHESS Depositary Nominees Pty, Limited, a subsidiary of ASX Limited, the company that operates the ASX.</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number of common stock equivalent shares underlying the CDIs sold on the ASX.</w:t>
      </w:r>
    </w:p>
    <w:p>
      <w:pPr>
        <w:spacing w:after="0" w:line="50" w:lineRule="exact"/>
        <w:rPr>
          <w:rFonts w:ascii="Times New Roman" w:cs="Times New Roman" w:eastAsia="Times New Roman" w:hAnsi="Times New Roman"/>
          <w:sz w:val="13"/>
          <w:szCs w:val="13"/>
          <w:color w:val="008000"/>
        </w:rPr>
      </w:pPr>
    </w:p>
    <w:p>
      <w:pPr>
        <w:ind w:left="40" w:right="3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$83.91 to $84.85, inclusive, per share.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3.</w:t>
      </w:r>
    </w:p>
    <w:p>
      <w:pPr>
        <w:spacing w:after="0" w:line="20" w:lineRule="exact"/>
        <w:rPr>
          <w:rFonts w:ascii="Times New Roman" w:cs="Times New Roman" w:eastAsia="Times New Roman" w:hAnsi="Times New Roman"/>
          <w:sz w:val="13"/>
          <w:szCs w:val="13"/>
          <w:color w:val="008000"/>
        </w:rPr>
      </w:pPr>
    </w:p>
    <w:p>
      <w:pPr>
        <w:ind w:left="40" w:right="3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weighted average sale price of the CDIs sold, as converted to USD by multiplying the amount by 3, based on the 3:1 conversion ratio for CDIs to common stock, and then multiplying by the exchange rate of 0.6505 in effect at the time of the sale as published by the Reserve Bank of Australia.</w:t>
      </w:r>
    </w:p>
    <w:p>
      <w:pPr>
        <w:spacing w:after="0" w:line="7" w:lineRule="exact"/>
        <w:rPr>
          <w:rFonts w:ascii="Times New Roman" w:cs="Times New Roman" w:eastAsia="Times New Roman" w:hAnsi="Times New Roman"/>
          <w:sz w:val="13"/>
          <w:szCs w:val="13"/>
          <w:color w:val="008000"/>
        </w:rPr>
      </w:pPr>
    </w:p>
    <w:p>
      <w:pPr>
        <w:ind w:left="40" w:right="1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the number of common stock underlying CDIs as converted on a 1:3 common stock to CDI ratio. The CDIs are traded on the ASX and are held by CHESS Depositary Nominees Pty, Limited, a subsidiary of ASX Limited, the company that operates the ASX.</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2,810 restricted stock units previously granted, each of which represents a contingent right to receive one share of the Issuer's common stock upon vesting.</w:t>
      </w:r>
    </w:p>
    <w:p>
      <w:pPr>
        <w:spacing w:after="0" w:line="50" w:lineRule="exact"/>
        <w:rPr>
          <w:rFonts w:ascii="Times New Roman" w:cs="Times New Roman" w:eastAsia="Times New Roman" w:hAnsi="Times New Roman"/>
          <w:sz w:val="13"/>
          <w:szCs w:val="13"/>
          <w:color w:val="008000"/>
        </w:rPr>
      </w:pPr>
    </w:p>
    <w:p>
      <w:pPr>
        <w:ind w:left="40" w:right="3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$85.36 to $86.22, inclusive, per share.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7.</w:t>
      </w:r>
    </w:p>
    <w:p>
      <w:pPr>
        <w:spacing w:after="0" w:line="20" w:lineRule="exact"/>
        <w:rPr>
          <w:rFonts w:ascii="Times New Roman" w:cs="Times New Roman" w:eastAsia="Times New Roman" w:hAnsi="Times New Roman"/>
          <w:sz w:val="13"/>
          <w:szCs w:val="13"/>
          <w:color w:val="008000"/>
        </w:rPr>
      </w:pPr>
    </w:p>
    <w:p>
      <w:pPr>
        <w:ind w:left="40" w:right="3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weighted average sale price of the CDIs sold, as converted to USD by multiplying the amount by 3, based on the 3:1 conversion ratio for CDIs to common stock, and then multiplying by the exchange rate of 0.652 in effect at the time of the sale as published by the Reserve Bank of Australia.</w:t>
      </w:r>
    </w:p>
    <w:p>
      <w:pPr>
        <w:spacing w:after="0" w:line="7" w:lineRule="exact"/>
        <w:rPr>
          <w:rFonts w:ascii="Times New Roman" w:cs="Times New Roman" w:eastAsia="Times New Roman" w:hAnsi="Times New Roman"/>
          <w:sz w:val="13"/>
          <w:szCs w:val="13"/>
          <w:color w:val="008000"/>
        </w:rPr>
      </w:pPr>
    </w:p>
    <w:p>
      <w:pPr>
        <w:ind w:left="40" w:right="4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has shared investment control over Carthona Capital FS Pty Ltd. ("Carthona Capital"). Carthona Capital is a member of ICCA Labs, LLC, an entity that holds an aggregate of 8,219 shares of the Issuer's common stock. The number of shares held as reported herein represents Carthona Capital's proportionate ownership interest in ICCA Labs, LLC. The Reporting Person disclaims beneficial ownership of these securities except to the extent of his pecuniary interest therein.</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Jay Sood, as Attorney-in-</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08/19/2025</w:t>
            </w: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80"/>
          </w:cols>
          <w:pgMar w:left="460" w:top="219" w:right="359" w:bottom="0" w:gutter="0" w:footer="0" w:header="0"/>
          <w:type w:val="continuous"/>
        </w:sectPr>
      </w:pPr>
    </w:p>
    <w:bookmarkStart w:id="1" w:name="page2"/>
    <w:bookmarkEnd w:id="1"/>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32661" TargetMode="External"/><Relationship Id="rId14" Type="http://schemas.openxmlformats.org/officeDocument/2006/relationships/hyperlink" Target="http://www.sec.gov/cgi-bin/browse-edgar?action=getcompany&amp;CIK=0001581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2025-08-19T16:55:59Z</dcterms:created>
  <dcterms:modified xsi:type="dcterms:W3CDTF">2025-08-19T16:55:59Z</dcterms:modified>
</cp:coreProperties>
</file>