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9041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904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Rice David William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Life360,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360.AX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1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C/O LIFE360, INC.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0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539 BRYANT STREET, SUITE 402</w:t>
            </w: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7"/>
        </w:trPr>
        <w:tc>
          <w:tcPr>
            <w:tcW w:w="780" w:type="dxa"/>
            <w:vAlign w:val="bottom"/>
          </w:tcPr>
          <w:p>
            <w:pPr>
              <w:ind w:left="40"/>
              <w:spacing w:after="0" w:line="20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SAN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475"/>
        </w:trPr>
        <w:tc>
          <w:tcPr>
            <w:tcW w:w="18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 xml:space="preserve">FRANCISCO </w:t>
            </w:r>
            <w:r>
              <w:rPr>
                <w:rFonts w:ascii="Times New Roman" w:cs="Times New Roman" w:eastAsia="Times New Roman" w:hAnsi="Times New Roman"/>
                <w:sz w:val="39"/>
                <w:szCs w:val="39"/>
                <w:color w:val="0000FF"/>
                <w:vertAlign w:val="superscript"/>
              </w:rPr>
              <w:t>CA</w:t>
            </w: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jc w:val="right"/>
              <w:ind w:right="3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94107</w:t>
            </w:r>
          </w:p>
        </w:tc>
      </w:tr>
      <w:tr>
        <w:trPr>
          <w:trHeight w:val="34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Operating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440" w:firstLine="9"/>
        <w:spacing w:after="0" w:line="244" w:lineRule="auto"/>
        <w:tabs>
          <w:tab w:leader="none" w:pos="167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06/27/2022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ind w:right="480" w:firstLine="9"/>
        <w:spacing w:after="0" w:line="252" w:lineRule="auto"/>
        <w:tabs>
          <w:tab w:leader="none" w:pos="167" w:val="left"/>
        </w:tabs>
        <w:numPr>
          <w:ilvl w:val="0"/>
          <w:numId w:val="3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60" w:right="340" w:hanging="304"/>
        <w:spacing w:after="0" w:line="180" w:lineRule="auto"/>
        <w:tabs>
          <w:tab w:leader="none" w:pos="46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60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5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0"/>
            <w:col w:w="2680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(1)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02/02/2027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93,500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8.89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Stock Option (right to buy)</w:t>
            </w:r>
          </w:p>
        </w:tc>
        <w:tc>
          <w:tcPr>
            <w:tcW w:w="10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(2)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03/15/2028</w:t>
            </w:r>
          </w:p>
        </w:tc>
        <w:tc>
          <w:tcPr>
            <w:tcW w:w="1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116,754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10.49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 w:right="46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March 1, 2021, until such time as the option is 100% vested, subject to the continuing employment of the Reporting Person on each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5"/>
          <w:szCs w:val="15"/>
          <w:color w:val="008000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5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The stock option vests and becomes exercisable as to 1/48th of the total number of shares in equal monthly installments beginning on April 1, 2022, until such time as the option is 100% vested, subject to the continuing employment of the Reporting Person on each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This Form 3/A is being filed to correct the expiration dates of certain stock options reported in the original Form 3 filed by the Reporting Person on June 27, 2022.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Daniel Menudier, as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6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25558EC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38E1F29"/>
    <w:multiLevelType w:val="hybridMultilevel"/>
    <w:lvl w:ilvl="0">
      <w:lvlJc w:val="left"/>
      <w:lvlText w:val="%1."/>
      <w:numFmt w:val="decimal"/>
      <w:start w:val="6"/>
    </w:lvl>
  </w:abstractNum>
  <w:abstractNum w:abstractNumId="3">
    <w:nsid w:val="46E87CCD"/>
    <w:multiLevelType w:val="hybridMultilevel"/>
    <w:lvl w:ilvl="0">
      <w:lvlJc w:val="left"/>
      <w:lvlText w:val="X"/>
      <w:numFmt w:val="bullet"/>
      <w:start w:val="1"/>
    </w:lvl>
  </w:abstractNum>
  <w:abstractNum w:abstractNumId="4">
    <w:nsid w:val="3D1B58BA"/>
    <w:multiLevelType w:val="hybridMultilevel"/>
    <w:lvl w:ilvl="0">
      <w:lvlJc w:val="left"/>
      <w:lvlText w:val="%1."/>
      <w:numFmt w:val="decimal"/>
      <w:start w:val="1"/>
    </w:lvl>
  </w:abstractNum>
  <w:abstractNum w:abstractNumId="5">
    <w:nsid w:val="507ED7AB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932923" TargetMode="External"/><Relationship Id="rId11" Type="http://schemas.openxmlformats.org/officeDocument/2006/relationships/hyperlink" Target="http://www.sec.gov/cgi-bin/browse-edgar?action=getcompany&amp;CIK=00015817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2022-06-29T19:01:49Z</dcterms:created>
  <dcterms:modified xsi:type="dcterms:W3CDTF">2022-06-29T19:01:49Z</dcterms:modified>
</cp:coreProperties>
</file>