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960"/>
        <w:spacing w:after="0"/>
        <w:rPr>
          <w:sz w:val="20"/>
          <w:szCs w:val="20"/>
          <w:color w:val="auto"/>
        </w:rPr>
      </w:pPr>
      <w:r>
        <w:rPr>
          <w:rFonts w:ascii="Times New Roman" w:cs="Times New Roman" w:eastAsia="Times New Roman" w:hAnsi="Times New Roman"/>
          <w:sz w:val="19"/>
          <w:szCs w:val="19"/>
          <w:color w:val="auto"/>
        </w:rPr>
        <w:t>______________</w:t>
      </w:r>
    </w:p>
    <w:p>
      <w:pPr>
        <w:spacing w:after="0" w:line="3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28, 2026</w:t>
      </w:r>
    </w:p>
    <w:p>
      <w:pPr>
        <w:spacing w:after="0" w:line="3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Life360,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34" w:right="359" w:bottom="879" w:gutter="0" w:footer="0" w:header="0"/>
        </w:sectPr>
      </w:pPr>
    </w:p>
    <w:p>
      <w:pPr>
        <w:spacing w:after="0" w:line="2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001-42120</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26-0197666</w:t>
      </w:r>
    </w:p>
    <w:p>
      <w:pPr>
        <w:spacing w:after="0" w:line="80" w:lineRule="exact"/>
        <w:rPr>
          <w:sz w:val="24"/>
          <w:szCs w:val="24"/>
          <w:color w:val="auto"/>
        </w:rPr>
      </w:pPr>
    </w:p>
    <w:p>
      <w:pPr>
        <w:sectPr>
          <w:pgSz w:w="11900" w:h="16838" w:orient="portrait"/>
          <w:cols w:equalWidth="0" w:num="3">
            <w:col w:w="4500" w:space="720"/>
            <w:col w:w="2980" w:space="720"/>
            <w:col w:w="2300"/>
          </w:cols>
          <w:pgMar w:left="320" w:top="1334" w:right="359" w:bottom="879" w:gutter="0" w:footer="0" w:header="0"/>
          <w:type w:val="continuous"/>
        </w:sect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73" w:lineRule="exact"/>
        <w:rPr>
          <w:sz w:val="24"/>
          <w:szCs w:val="24"/>
          <w:color w:val="auto"/>
        </w:rPr>
      </w:pPr>
    </w:p>
    <w:p>
      <w:pPr>
        <w:sectPr>
          <w:pgSz w:w="11900" w:h="16838" w:orient="portrait"/>
          <w:cols w:equalWidth="0" w:num="3">
            <w:col w:w="3900" w:space="720"/>
            <w:col w:w="3360" w:space="720"/>
            <w:col w:w="2520"/>
          </w:cols>
          <w:pgMar w:left="320" w:top="1334" w:right="359" w:bottom="879"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1900 South Norfolk Street, Suite 310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San Mateo, CA 94403</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3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(415) 484-5244</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120"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9"/>
          <w:szCs w:val="19"/>
          <w:color w:val="auto"/>
        </w:rPr>
        <w:t>______________</w:t>
      </w:r>
    </w:p>
    <w:p>
      <w:pPr>
        <w:sectPr>
          <w:pgSz w:w="11900" w:h="16838" w:orient="portrait"/>
          <w:cols w:equalWidth="0" w:num="1">
            <w:col w:w="11220"/>
          </w:cols>
          <w:pgMar w:left="320" w:top="1334" w:right="359" w:bottom="879" w:gutter="0" w:footer="0" w:header="0"/>
          <w:type w:val="continuous"/>
        </w:sectPr>
      </w:pPr>
    </w:p>
    <w:p>
      <w:pPr>
        <w:spacing w:after="0" w:line="343" w:lineRule="exact"/>
        <w:rPr>
          <w:sz w:val="24"/>
          <w:szCs w:val="24"/>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3"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9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LIF</w:t>
            </w:r>
          </w:p>
        </w:tc>
        <w:tc>
          <w:tcPr>
            <w:tcW w:w="4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3"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jc w:val="both"/>
        <w:ind w:left="2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34" w:right="359" w:bottom="879"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On May 28, 2026, the Company held its Annual Meeting of Stockholders (the “Annual Meeting”). Present at the Annual Meeting virtually or by proxy were the holders of 58,067,511 shares of common stock of the Company, representing approximately 71.96% of the 80,689,686 shares of common stock outstanding as of the close of business on April 9, 2026, the record date for the Annual Meeting, and constituting a quorum for the transaction of business.</w:t>
      </w:r>
    </w:p>
    <w:p>
      <w:pPr>
        <w:spacing w:after="0" w:line="18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At the Annual Meeting, the Company’s stockholders voted on three proposals, each of which is described in more detail in the Company’s definitive proxy statement on Schedule 14A filed with the U.S. Securities and Exchange Commission on April 16, 2026 (the “Proxy Statement”). The following is a brief description of each matter voted upon and the certified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 Election of Directors</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stockholders elected the following four Class I directors to hold office until the Company’s 2029 annual meeting of stockholders. The voting results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0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Uncast</w:t>
            </w:r>
            <w:r>
              <w:rPr>
                <w:rFonts w:ascii="Times New Roman" w:cs="Times New Roman" w:eastAsia="Times New Roman" w:hAnsi="Times New Roman"/>
                <w:sz w:val="10"/>
                <w:szCs w:val="10"/>
                <w:b w:val="1"/>
                <w:bCs w:val="1"/>
                <w:color w:val="auto"/>
              </w:rPr>
              <w:t>*</w:t>
            </w:r>
          </w:p>
        </w:tc>
      </w:tr>
      <w:tr>
        <w:trPr>
          <w:trHeight w:val="23"/>
        </w:trPr>
        <w:tc>
          <w:tcPr>
            <w:tcW w:w="32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Lauren Antonoff</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53,945,853</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152,637</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3,969,021</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Mark Goines</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46,677,291</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7,421,199</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3,969,021</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Alex Haro</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53,468,431</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630,059</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3,969,021</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Randi Zuckerberg</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53,937,521</w:t>
            </w:r>
          </w:p>
        </w:tc>
        <w:tc>
          <w:tcPr>
            <w:tcW w:w="1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160,969</w:t>
            </w:r>
          </w:p>
        </w:tc>
        <w:tc>
          <w:tcPr>
            <w:tcW w:w="10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3,969,021</w:t>
            </w:r>
          </w:p>
        </w:tc>
        <w:tc>
          <w:tcPr>
            <w:tcW w:w="1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 Advisory vote on Executive Compensation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stockholders approved, on an advisory, non-binding basis, the compensation of the Company’s named executive officers. The voting results were as follows: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4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24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Uncast</w:t>
            </w:r>
            <w:r>
              <w:rPr>
                <w:rFonts w:ascii="Times New Roman" w:cs="Times New Roman" w:eastAsia="Times New Roman" w:hAnsi="Times New Roman"/>
                <w:sz w:val="10"/>
                <w:szCs w:val="10"/>
                <w:b w:val="1"/>
                <w:bCs w:val="1"/>
                <w:color w:val="auto"/>
              </w:rPr>
              <w:t>*</w:t>
            </w:r>
          </w:p>
        </w:tc>
      </w:tr>
      <w:tr>
        <w:trPr>
          <w:trHeight w:val="23"/>
        </w:trPr>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63"/>
        </w:trPr>
        <w:tc>
          <w:tcPr>
            <w:tcW w:w="21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42,763,262</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11,245,014</w:t>
            </w:r>
          </w:p>
        </w:tc>
        <w:tc>
          <w:tcPr>
            <w:tcW w:w="8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90,214</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3,969,021</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 – Ratification of the Independent Registered Public Accounting Firm</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stockholders approved the appointment of Deloitte &amp; Touche LLP as our independent registered public accounting firm for 2026. The voting results were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4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Uncast</w:t>
            </w:r>
            <w:r>
              <w:rPr>
                <w:rFonts w:ascii="Times New Roman" w:cs="Times New Roman" w:eastAsia="Times New Roman" w:hAnsi="Times New Roman"/>
                <w:sz w:val="10"/>
                <w:szCs w:val="10"/>
                <w:b w:val="1"/>
                <w:bCs w:val="1"/>
                <w:color w:val="auto"/>
              </w:rPr>
              <w:t>*</w:t>
            </w:r>
          </w:p>
        </w:tc>
      </w:tr>
      <w:tr>
        <w:trPr>
          <w:trHeight w:val="23"/>
        </w:trPr>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63"/>
        </w:trPr>
        <w:tc>
          <w:tcPr>
            <w:tcW w:w="21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57,817,068</w:t>
            </w:r>
          </w:p>
        </w:tc>
        <w:tc>
          <w:tcPr>
            <w:tcW w:w="8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177,466</w:t>
            </w:r>
          </w:p>
        </w:tc>
        <w:tc>
          <w:tcPr>
            <w:tcW w:w="8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72,977</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r>
      <w:tr>
        <w:trPr>
          <w:trHeight w:val="608"/>
        </w:trPr>
        <w:tc>
          <w:tcPr>
            <w:tcW w:w="216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99"/>
              </w:rPr>
              <w:t>______________</w:t>
            </w: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90" w:lineRule="exact"/>
        <w:rPr>
          <w:sz w:val="20"/>
          <w:szCs w:val="20"/>
          <w:color w:val="auto"/>
        </w:rPr>
      </w:pPr>
    </w:p>
    <w:p>
      <w:pPr>
        <w:ind w:right="140" w:firstLine="8"/>
        <w:spacing w:after="0" w:line="266"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underlying votes that were not cast or that were disregarded, including pursuant to ASX Listing Rule 14.11.1, as further described in the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3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48"/>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492"/>
        </w:trPr>
        <w:tc>
          <w:tcPr>
            <w:tcW w:w="880" w:type="dxa"/>
            <w:vAlign w:val="bottom"/>
            <w:tcBorders>
              <w:bottom w:val="single" w:sz="8" w:color="9A9A9A"/>
            </w:tcBorders>
          </w:tcPr>
          <w:p>
            <w:pPr>
              <w:spacing w:after="0"/>
              <w:rPr>
                <w:sz w:val="24"/>
                <w:szCs w:val="24"/>
                <w:color w:val="auto"/>
              </w:rPr>
            </w:pPr>
          </w:p>
        </w:tc>
        <w:tc>
          <w:tcPr>
            <w:tcW w:w="10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173" w:lineRule="exact"/>
        <w:rPr>
          <w:sz w:val="20"/>
          <w:szCs w:val="20"/>
          <w:color w:val="auto"/>
        </w:rPr>
      </w:pPr>
    </w:p>
    <w:p>
      <w:pPr>
        <w:ind w:left="20"/>
        <w:spacing w:after="0"/>
        <w:tabs>
          <w:tab w:leader="none" w:pos="900" w:val="left"/>
          <w:tab w:leader="none" w:pos="5200" w:val="left"/>
          <w:tab w:leader="none" w:pos="57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May 29, 2026</w:t>
      </w:r>
      <w:r>
        <w:rPr>
          <w:sz w:val="20"/>
          <w:szCs w:val="20"/>
          <w:color w:val="auto"/>
        </w:rPr>
        <w:tab/>
      </w:r>
      <w:r>
        <w:rPr>
          <w:rFonts w:ascii="Times New Roman" w:cs="Times New Roman" w:eastAsia="Times New Roman" w:hAnsi="Times New Roman"/>
          <w:sz w:val="36"/>
          <w:szCs w:val="36"/>
          <w:color w:val="auto"/>
          <w:vertAlign w:val="superscript"/>
        </w:rPr>
        <w:t>By:</w:t>
      </w:r>
      <w:r>
        <w:rPr>
          <w:sz w:val="20"/>
          <w:szCs w:val="20"/>
          <w:color w:val="auto"/>
        </w:rPr>
        <w:tab/>
      </w:r>
      <w:r>
        <w:rPr>
          <w:rFonts w:ascii="Times New Roman" w:cs="Times New Roman" w:eastAsia="Times New Roman" w:hAnsi="Times New Roman"/>
          <w:sz w:val="17"/>
          <w:szCs w:val="17"/>
          <w:color w:val="auto"/>
        </w:rPr>
        <w:t>/s/ Matthew Cullen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-17780</wp:posOffset>
            </wp:positionV>
            <wp:extent cx="3480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ind w:left="5780"/>
        <w:spacing w:after="0"/>
        <w:rPr>
          <w:sz w:val="20"/>
          <w:szCs w:val="20"/>
          <w:color w:val="auto"/>
        </w:rPr>
      </w:pPr>
      <w:r>
        <w:rPr>
          <w:rFonts w:ascii="Times New Roman" w:cs="Times New Roman" w:eastAsia="Times New Roman" w:hAnsi="Times New Roman"/>
          <w:sz w:val="18"/>
          <w:szCs w:val="18"/>
          <w:color w:val="auto"/>
        </w:rPr>
        <w:t>Matthew Cullen</w:t>
      </w:r>
    </w:p>
    <w:p>
      <w:pPr>
        <w:spacing w:after="0" w:line="9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General Counsel and Secretary</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2026-05-29T15:47:48Z</dcterms:created>
  <dcterms:modified xsi:type="dcterms:W3CDTF">2026-05-29T15:47:48Z</dcterms:modified>
</cp:coreProperties>
</file>