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f-form3_168392318555643.xml.htm"/>
      <w:bookmarkStart w:id="1" w:name="kswfform3_168392318555643"/>
      <w:bookmarkEnd w:id="0"/>
      <w:bookmarkEnd w:id="1"/>
      <w:r>
        <w:rP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2041" w:type="dxa"/>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061"/>
        <w:gridCol w:w="1531"/>
        <w:gridCol w:w="3062"/>
        <w:gridCol w:w="2551"/>
      </w:tblGrid>
      <w:tr>
        <w:trPr/>
        <w:tc>
          <w:tcPr>
            <w:tcW w:w="306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pPr>
                  <w:hyperlink r:id="rId2">
                    <w:r>
                      <w:rPr>
                        <w:rStyle w:val="InternetLink"/>
                      </w:rPr>
                      <w:t>Antonoff Lauren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LIFE360, INC.</w:t>
                  </w:r>
                </w:p>
              </w:tc>
            </w:tr>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1900 SOUTH NORFOLK STREET, SUITE 310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MATEO</w:t>
                  </w:r>
                </w:p>
              </w:tc>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98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94403</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153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05/02/2023</w:t>
            </w:r>
            <w:r>
              <w:rPr/>
              <w:t xml:space="preserve"> </w:t>
            </w:r>
          </w:p>
        </w:tc>
        <w:tc>
          <w:tcPr>
            <w:tcW w:w="5613"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Life360, Inc.</w:t>
              </w:r>
            </w:hyperlink>
            <w:r>
              <w:rPr/>
              <w:t xml:space="preserve"> [ </w:t>
            </w:r>
            <w:r>
              <w:rPr>
                <w:rFonts w:ascii="Times;serif" w:hAnsi="Times;serif"/>
                <w:color w:val="0000FF"/>
                <w:sz w:val="24"/>
                <w:shd w:fill="FFFFFF" w:val="clear"/>
              </w:rPr>
              <w:t>LIFX</w:t>
            </w:r>
            <w:r>
              <w:rPr/>
              <w:t xml:space="preserve"> ] </w:t>
            </w:r>
          </w:p>
        </w:tc>
      </w:tr>
      <w:tr>
        <w:trPr/>
        <w:tc>
          <w:tcPr>
            <w:tcW w:w="306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3062"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pPr>
                  <w:r>
                    <w:rPr>
                      <w:rFonts w:ascii="Times;serif" w:hAnsi="Times;serif"/>
                      <w:color w:val="0000FF"/>
                      <w:sz w:val="24"/>
                      <w:shd w:fill="FFFFFF" w:val="clear"/>
                    </w:rPr>
                    <w:t>Chief Operating Officer</w:t>
                  </w:r>
                  <w:r>
                    <w:rPr/>
                    <w:t xml:space="preserve"> </w:t>
                  </w:r>
                </w:p>
              </w:tc>
            </w:tr>
          </w:tbl>
          <w:p>
            <w:pPr>
              <w:pStyle w:val="TableContents"/>
              <w:bidi w:val="0"/>
              <w:spacing w:before="0" w:after="283"/>
              <w:jc w:val="left"/>
              <w:rPr>
                <w:sz w:val="4"/>
                <w:szCs w:val="4"/>
              </w:rPr>
            </w:pPr>
            <w:r>
              <w:rPr>
                <w:sz w:val="4"/>
                <w:szCs w:val="4"/>
              </w:rPr>
            </w:r>
          </w:p>
        </w:tc>
        <w:tc>
          <w:tcPr>
            <w:tcW w:w="2551"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 If Amendment, Date of Original Filed (Month/Day/Year)</w:t>
            </w:r>
          </w:p>
        </w:tc>
      </w:tr>
      <w:tr>
        <w:trPr/>
        <w:tc>
          <w:tcPr>
            <w:tcW w:w="306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3062"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551"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63"/>
              <w:gridCol w:w="2068"/>
            </w:tblGrid>
            <w:tr>
              <w:trPr/>
              <w:tc>
                <w:tcPr>
                  <w:tcW w:w="363"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63"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24"/>
        <w:gridCol w:w="1962"/>
        <w:gridCol w:w="1162"/>
        <w:gridCol w:w="2657"/>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24" w:type="dxa"/>
            <w:tcBorders>
              <w:left w:val="single" w:sz="6"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7"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bl>
    <w:tbl>
      <w:tblPr>
        <w:tblW w:w="5000" w:type="pct"/>
        <w:jc w:val="left"/>
        <w:tblInd w:w="-7" w:type="dxa"/>
        <w:tblLayout w:type="fixed"/>
        <w:tblCellMar>
          <w:top w:w="60" w:type="dxa"/>
          <w:left w:w="60" w:type="dxa"/>
          <w:bottom w:w="60" w:type="dxa"/>
          <w:right w:w="60" w:type="dxa"/>
        </w:tblCellMar>
      </w:tblPr>
      <w:tblGrid>
        <w:gridCol w:w="1880"/>
        <w:gridCol w:w="1222"/>
        <w:gridCol w:w="1137"/>
        <w:gridCol w:w="1015"/>
        <w:gridCol w:w="957"/>
        <w:gridCol w:w="1285"/>
        <w:gridCol w:w="1256"/>
        <w:gridCol w:w="1453"/>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18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5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19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8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45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880"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222"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3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015"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95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8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25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453"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Exhibit 24 - Power of Attorney</w:t>
            </w:r>
          </w:p>
        </w:tc>
      </w:tr>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No securities are beneficially owned.</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Jay Sood,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05/12/2023</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PreformattedText"/>
        <w:bidi w:val="0"/>
        <w:jc w:val="left"/>
        <w:rPr/>
      </w:pPr>
      <w:bookmarkStart w:id="2" w:name="lantonoffpoa.htm"/>
      <w:bookmarkStart w:id="3" w:name="kslantonoffpoa"/>
      <w:bookmarkEnd w:id="2"/>
      <w:bookmarkEnd w:id="3"/>
      <w:r>
        <w:rPr/>
        <w:t>POWER OF ATTORNEY</w:t>
      </w:r>
      <w:r>
        <w:br w:type="page"/>
      </w:r>
    </w:p>
    <w:p>
      <w:pPr>
        <w:pStyle w:val="PreformattedText"/>
        <w:bidi w:val="0"/>
        <w:spacing w:before="0" w:after="0"/>
        <w:jc w:val="left"/>
        <w:rPr/>
      </w:pPr>
      <w:r>
        <w:rPr/>
        <w:t>Know all by these presents, that the undersigned hereby constitutes and appoints each of Russell J. Burke, Jay Sood, and Alexander Gefter, signing individually, the undersigned's true and lawful attorneys-in fact and agents to:</w:t>
      </w:r>
    </w:p>
    <w:p>
      <w:pPr>
        <w:pStyle w:val="PreformattedText"/>
        <w:bidi w:val="0"/>
        <w:spacing w:before="0" w:after="0"/>
        <w:jc w:val="left"/>
        <w:rPr/>
      </w:pPr>
      <w:r>
        <w:rPr/>
      </w:r>
    </w:p>
    <w:p>
      <w:pPr>
        <w:pStyle w:val="PreformattedText"/>
        <w:bidi w:val="0"/>
        <w:spacing w:before="0" w:after="0"/>
        <w:jc w:val="left"/>
        <w:rPr/>
      </w:pPr>
      <w:r>
        <w:rPr/>
        <w:t>(1) execute for and on behalf of the undersigned, in the undersigned's capacity as an officer, director and/or greater than 10% stockholder of Life360, Inc. (the "Company"), Forms 3, 4 and 5 (including any amendments thereto) in accordance with Section 16(a) of the Securities Exchange Act of 1934, as amended (the "Exchange Act"), and the rules thereunder;</w:t>
      </w:r>
    </w:p>
    <w:p>
      <w:pPr>
        <w:pStyle w:val="PreformattedText"/>
        <w:bidi w:val="0"/>
        <w:spacing w:before="0" w:after="0"/>
        <w:jc w:val="left"/>
        <w:rPr/>
      </w:pPr>
      <w:r>
        <w:rPr/>
      </w:r>
    </w:p>
    <w:p>
      <w:pPr>
        <w:pStyle w:val="PreformattedText"/>
        <w:bidi w:val="0"/>
        <w:spacing w:before="0" w:after="0"/>
        <w:jc w:val="left"/>
        <w:rPr/>
      </w:pPr>
      <w:r>
        <w:rPr/>
        <w:t>(2) do and perform any and all acts for and on behalf of the undersigned which  may be necessary or desirable to complete and execute any such Forms 3, 4 or 5 (including any amendments thereto) and timely file such forms with the Securities and Exchange Commission and any stock exchange or similar authority; and</w:t>
      </w:r>
    </w:p>
    <w:p>
      <w:pPr>
        <w:pStyle w:val="PreformattedText"/>
        <w:bidi w:val="0"/>
        <w:spacing w:before="0" w:after="0"/>
        <w:jc w:val="left"/>
        <w:rPr/>
      </w:pPr>
      <w:r>
        <w:rPr/>
      </w:r>
    </w:p>
    <w:p>
      <w:pPr>
        <w:pStyle w:val="PreformattedText"/>
        <w:bidi w:val="0"/>
        <w:spacing w:before="0" w:after="0"/>
        <w:jc w:val="left"/>
        <w:rPr/>
      </w:pPr>
      <w:r>
        <w:rPr/>
        <w:t>(3) take any other action of any nature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pStyle w:val="PreformattedText"/>
        <w:bidi w:val="0"/>
        <w:spacing w:before="0" w:after="0"/>
        <w:jc w:val="left"/>
        <w:rPr/>
      </w:pPr>
      <w:r>
        <w:rPr/>
      </w:r>
    </w:p>
    <w:p>
      <w:pPr>
        <w:pStyle w:val="PreformattedText"/>
        <w:bidi w:val="0"/>
        <w:spacing w:before="0" w:after="0"/>
        <w:jc w:val="left"/>
        <w:rPr/>
      </w:pPr>
      <w:r>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Exchange Act.</w:t>
      </w:r>
    </w:p>
    <w:p>
      <w:pPr>
        <w:pStyle w:val="PreformattedText"/>
        <w:bidi w:val="0"/>
        <w:spacing w:before="0" w:after="0"/>
        <w:jc w:val="left"/>
        <w:rPr/>
      </w:pPr>
      <w:r>
        <w:rPr/>
      </w:r>
    </w:p>
    <w:p>
      <w:pPr>
        <w:pStyle w:val="PreformattedText"/>
        <w:bidi w:val="0"/>
        <w:spacing w:before="0" w:after="0"/>
        <w:jc w:val="left"/>
        <w:rPr/>
      </w:pPr>
      <w:r>
        <w:rPr/>
        <w:t>This Power of Attorney shall remain in full force and effect until the earliest to occur of (a) the undersigned is no longer required to file Forms 3, 4 and 5 with respect to the undersigned's holdings of and transactions in securities issued by the Company, (b) revocation by the undersigned in a signed writing delivered to the foregoing attorneys-in-fact or (c) as to any attorney-in-fact individually, until such attorney-in-fact is no longer employed by the Company or employed by or a partner at Cooley LLP, as applicable.</w:t>
      </w:r>
    </w:p>
    <w:p>
      <w:pPr>
        <w:pStyle w:val="PreformattedText"/>
        <w:bidi w:val="0"/>
        <w:spacing w:before="0" w:after="0"/>
        <w:jc w:val="left"/>
        <w:rPr/>
      </w:pPr>
      <w:r>
        <w:rPr/>
      </w:r>
    </w:p>
    <w:p>
      <w:pPr>
        <w:pStyle w:val="PreformattedText"/>
        <w:bidi w:val="0"/>
        <w:spacing w:before="0" w:after="0"/>
        <w:jc w:val="left"/>
        <w:rPr/>
      </w:pPr>
      <w:r>
        <w:rPr/>
        <w:t>The undersigned has caused this Power of Attorney to be executed as of May 12, 2023.</w:t>
      </w:r>
    </w:p>
    <w:p>
      <w:pPr>
        <w:pStyle w:val="PreformattedText"/>
        <w:bidi w:val="0"/>
        <w:spacing w:before="0" w:after="0"/>
        <w:jc w:val="left"/>
        <w:rPr/>
      </w:pPr>
      <w:r>
        <w:rPr/>
      </w:r>
    </w:p>
    <w:p>
      <w:pPr>
        <w:pStyle w:val="PreformattedText"/>
        <w:bidi w:val="0"/>
        <w:spacing w:before="0" w:after="283"/>
        <w:jc w:val="left"/>
        <w:rPr/>
      </w:pPr>
      <w:r>
        <w:rPr/>
        <w:t>/s/ Lauren Antonoff</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Liberation Mono">
    <w:altName w:val="Courier New"/>
    <w:charset w:val="01"/>
    <w:family w:val="modern"/>
    <w:pitch w:val="fixed"/>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PreformattedText">
    <w:name w:val="Preformatted Text"/>
    <w:basedOn w:val="Normal"/>
    <w:qFormat/>
    <w:pPr>
      <w:spacing w:before="0" w:after="0"/>
    </w:pPr>
    <w:rPr>
      <w:rFonts w:ascii="Liberation Mono" w:hAnsi="Liberation Mono" w:eastAsia="Liberation Mono" w:cs="Liberation Mono"/>
      <w:sz w:val="20"/>
      <w:szCs w:val="20"/>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1942029" TargetMode="External"/><Relationship Id="rId3" Type="http://schemas.openxmlformats.org/officeDocument/2006/relationships/hyperlink" Target="http://www.sec.gov/cgi-bin/browse-edgar?action=getcompany&amp;CIK=0001581760" TargetMode="Externa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877</Words>
  <Characters>4680</Characters>
  <CharactersWithSpaces>5507</CharactersWithSpaces>
  <Paragraphs>76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