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591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5913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03/25/2026</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6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6"/>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94403</w:t>
            </w: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4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auto"/>
              </w:rPr>
              <w:t>(State)</w:t>
            </w:r>
          </w:p>
        </w:tc>
        <w:tc>
          <w:tcPr>
            <w:tcW w:w="222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22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2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2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ind w:left="11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gridSpan w:val="2"/>
          </w:tcPr>
          <w:p>
            <w:pPr>
              <w:ind w:left="11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gridSpan w:val="2"/>
          </w:tcPr>
          <w:p>
            <w:pPr>
              <w:ind w:left="1260"/>
              <w:spacing w:after="0"/>
              <w:rPr>
                <w:sz w:val="20"/>
                <w:szCs w:val="20"/>
                <w:color w:val="auto"/>
              </w:rPr>
            </w:pPr>
            <w:r>
              <w:rPr>
                <w:rFonts w:ascii="Times New Roman" w:cs="Times New Roman" w:eastAsia="Times New Roman" w:hAnsi="Times New Roman"/>
                <w:sz w:val="17"/>
                <w:szCs w:val="17"/>
                <w:color w:val="0000FF"/>
              </w:rPr>
              <w:t>03/25/2026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24,265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ind w:right="174"/>
              <w:spacing w:after="0"/>
              <w:rPr>
                <w:sz w:val="20"/>
                <w:szCs w:val="20"/>
                <w:color w:val="auto"/>
              </w:rPr>
            </w:pPr>
            <w:r>
              <w:rPr>
                <w:rFonts w:ascii="Times New Roman" w:cs="Times New Roman" w:eastAsia="Times New Roman" w:hAnsi="Times New Roman"/>
                <w:sz w:val="17"/>
                <w:szCs w:val="17"/>
                <w:color w:val="0000FF"/>
              </w:rPr>
              <w:t>80,838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Russell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Burke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center"/>
              <w:ind w:right="134"/>
              <w:spacing w:after="0" w:line="213" w:lineRule="exact"/>
              <w:rPr>
                <w:sz w:val="20"/>
                <w:szCs w:val="20"/>
                <w:color w:val="auto"/>
              </w:rPr>
            </w:pPr>
            <w:r>
              <w:rPr>
                <w:rFonts w:ascii="Times New Roman" w:cs="Times New Roman" w:eastAsia="Times New Roman" w:hAnsi="Times New Roman"/>
                <w:sz w:val="17"/>
                <w:szCs w:val="17"/>
                <w:color w:val="0000FF"/>
              </w:rPr>
              <w:t>113,361</w:t>
            </w:r>
            <w:r>
              <w:rPr>
                <w:rFonts w:ascii="Times New Roman" w:cs="Times New Roman" w:eastAsia="Times New Roman" w:hAnsi="Times New Roman"/>
                <w:sz w:val="22"/>
                <w:szCs w:val="22"/>
                <w:color w:val="008000"/>
                <w:vertAlign w:val="superscript"/>
              </w:rPr>
              <w:t>(3)</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 &amp;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Jeanette 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Calandra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ELD as</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TIC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("PRSUs") granted to the Reporting Person on April 9, 2025. In light of the performance-based vesting condition, this grant was not reportable under Section 16 until the performance metric was satisfied. On March 25, 2026, it was determined that the performance metric had been met. Each PRSU represents a contingent right to receive one share of the Issuer's common stock upon settlement. 25% of the PRSUs vested on January 1, 2026 with the remaining 75% converting to time-based RSUs and vesting in twelve equal quarterly installments thereafter, subject to the Reporting Person's continuous service through each vest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80,838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22,284 directly held shares to the Russell John Burke Revocable Trust &amp; Jeanette L Calandra Revocable Trust ELD as TIC, which transfer was exempt from Section</w:t>
      </w:r>
    </w:p>
    <w:p>
      <w:pPr>
        <w:spacing w:after="0" w:line="11" w:lineRule="exact"/>
        <w:rPr>
          <w:rFonts w:ascii="Times New Roman" w:cs="Times New Roman" w:eastAsia="Times New Roman" w:hAnsi="Times New Roman"/>
          <w:sz w:val="13"/>
          <w:szCs w:val="13"/>
          <w:color w:val="008000"/>
        </w:rPr>
      </w:pPr>
    </w:p>
    <w:p>
      <w:pPr>
        <w:ind w:left="220" w:hanging="173"/>
        <w:spacing w:after="0"/>
        <w:tabs>
          <w:tab w:leader="none" w:pos="2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Rule 16a-13 under the Securities Exchange Act of 1934, as amended.</w:t>
      </w:r>
    </w:p>
    <w:p>
      <w:pPr>
        <w:spacing w:after="0" w:line="36"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previously reported as held by the "Russell John Burke Revocable Trust," which was an abbreviation for the "Russell John Burke Revocable Trust &amp; Jeanette L Calandra Revocable Trust ELD as TIC." As of this Form 4, the Reporting Person is included the full name of the trust for clarification purposes.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03/27/2026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00"/>
          </w:cols>
          <w:pgMar w:left="460" w:top="219" w:right="43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6"/>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2026-03-27T18:55:23Z</dcterms:created>
  <dcterms:modified xsi:type="dcterms:W3CDTF">2026-03-27T18:55:23Z</dcterms:modified>
</cp:coreProperties>
</file>