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333-279271</w:t>
      </w:r>
    </w:p>
    <w:p>
      <w:pPr>
        <w:spacing w:after="0" w:line="378"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F1665F"/>
        </w:rPr>
        <w:t>The information in this preliminary prospectus supplement is not complete and may be changed. This preliminary prospectus supplement is not an offer to sell nor does it seek an offer to buy these securities in any jurisdiction where the offer or sale is not permitted.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1665F"/>
        </w:rPr>
        <w:t>Subject to Completion. Dated June 3, 2024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Supplement to Prospectus dated May 9, 2024.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5,750,000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19050</wp:posOffset>
            </wp:positionV>
            <wp:extent cx="221996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996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Life360,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Common Stoc</w:t>
      </w:r>
      <w:r>
        <w:rPr>
          <w:rFonts w:ascii="Times New Roman" w:cs="Times New Roman" w:eastAsia="Times New Roman" w:hAnsi="Times New Roman"/>
          <w:sz w:val="32"/>
          <w:szCs w:val="32"/>
          <w:b w:val="1"/>
          <w:bCs w:val="1"/>
          <w:color w:val="auto"/>
        </w:rPr>
        <w:t>k</w:t>
      </w:r>
    </w:p>
    <w:p>
      <w:pPr>
        <w:spacing w:after="0" w:line="15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an initial public offering in the United States of shares of common stock of Life360, Inc. We are offering 3,286,231 shares of common stock and the selling securityholders identified in this prospectus supplement are offering an additional 2,463,769 shares of common stock. We will not receive any proceeds from the sale of shares by the selling securityholders.</w:t>
      </w:r>
    </w:p>
    <w:p>
      <w:pPr>
        <w:spacing w:after="0" w:line="108"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Prior to this offering, there has been no public market for our common stock in the United States. Our common stock trades on the Australian Securities Exchange (the “ASX”) under the symbol “360” in the form of CHESS Depositary Interests (“CDIs”). CDIs are units of beneficial ownership in shares of our common stock that are held in trust for CDI holders by CHESS Depositary Nominees Pty Limited (“CDN”), a subsidiary of ASX Limited, the company that operates the ASX. The CDIs entitle holders to dividends, if any, and other rights equivalent to shares of our common stock on a 3 CDIs-for-1 share of common stock basis. The last reported sale price of our CDIs on the ASX on May 31, 2024 (Australian Eastern Standard Time) was A$15.30 per CDI (equivalent to $30.43 per share of common stock, using an exchange rate of $0.6629 to convert Australian dollars to U.S. dollars as of May 24, 2024, as published by the Federal Reserve). The initial public offering price for our common stock will be determined through negotiations between us and the underwriters for this offering and will be based on the trading price of our ordinary shares on the ASX prior to the pricing of this offering, as well as prevailing market conditions and other factors described in the “Underwriting” section beginning on page </w:t>
      </w:r>
      <w:r>
        <w:rPr>
          <w:rFonts w:ascii="Times New Roman" w:cs="Times New Roman" w:eastAsia="Times New Roman" w:hAnsi="Times New Roman"/>
          <w:sz w:val="18"/>
          <w:szCs w:val="18"/>
          <w:u w:val="single" w:color="auto"/>
          <w:color w:val="0000FF"/>
        </w:rPr>
        <w:t>S-48</w:t>
      </w:r>
      <w:r>
        <w:rPr>
          <w:rFonts w:ascii="Times New Roman" w:cs="Times New Roman" w:eastAsia="Times New Roman" w:hAnsi="Times New Roman"/>
          <w:sz w:val="18"/>
          <w:szCs w:val="18"/>
          <w:color w:val="auto"/>
        </w:rPr>
        <w:t xml:space="preserve"> of this prospectus supplement. In addition to the CDIs trading on the ASX, we have been approved to list our common stock on the Nasdaq Global Select Market under the symbol “LIF”.</w:t>
      </w:r>
    </w:p>
    <w:p>
      <w:pPr>
        <w:spacing w:after="0" w:line="144"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See the section titled “Risk Factors” beginning on page </w:t>
      </w:r>
      <w:r>
        <w:rPr>
          <w:rFonts w:ascii="Times New Roman" w:cs="Times New Roman" w:eastAsia="Times New Roman" w:hAnsi="Times New Roman"/>
          <w:sz w:val="18"/>
          <w:szCs w:val="18"/>
          <w:i w:val="1"/>
          <w:iCs w:val="1"/>
          <w:u w:val="single" w:color="auto"/>
          <w:color w:val="0000FF"/>
        </w:rPr>
        <w:t>S-23</w:t>
      </w:r>
      <w:r>
        <w:rPr>
          <w:rFonts w:ascii="Times New Roman" w:cs="Times New Roman" w:eastAsia="Times New Roman" w:hAnsi="Times New Roman"/>
          <w:sz w:val="18"/>
          <w:szCs w:val="18"/>
          <w:i w:val="1"/>
          <w:iCs w:val="1"/>
          <w:color w:val="auto"/>
        </w:rPr>
        <w:t xml:space="preserve"> of this prospectus supplement and page </w:t>
      </w:r>
      <w:r>
        <w:rPr>
          <w:rFonts w:ascii="Times New Roman" w:cs="Times New Roman" w:eastAsia="Times New Roman" w:hAnsi="Times New Roman"/>
          <w:sz w:val="18"/>
          <w:szCs w:val="18"/>
          <w:i w:val="1"/>
          <w:iCs w:val="1"/>
          <w:u w:val="single" w:color="auto"/>
          <w:color w:val="0000FF"/>
        </w:rPr>
        <w:t>25</w:t>
      </w:r>
      <w:r>
        <w:rPr>
          <w:rFonts w:ascii="Times New Roman" w:cs="Times New Roman" w:eastAsia="Times New Roman" w:hAnsi="Times New Roman"/>
          <w:sz w:val="18"/>
          <w:szCs w:val="18"/>
          <w:i w:val="1"/>
          <w:iCs w:val="1"/>
          <w:color w:val="auto"/>
        </w:rPr>
        <w:t xml:space="preserve"> of our prospectus and under similar headings in any filing with the Securities and Exchange Commission that is incorporated by reference herein to read about factors you should consider before buying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37465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9"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26670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8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600" w:type="dxa"/>
            <w:vAlign w:val="bottom"/>
            <w:vMerge w:val="continue"/>
          </w:tcPr>
          <w:p>
            <w:pPr>
              <w:spacing w:after="0"/>
              <w:rPr>
                <w:sz w:val="18"/>
                <w:szCs w:val="18"/>
                <w:color w:val="auto"/>
              </w:rPr>
            </w:pP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3"/>
                <w:szCs w:val="23"/>
                <w:color w:val="auto"/>
                <w:vertAlign w:val="superscript"/>
              </w:rPr>
              <w:t>(1)</w:t>
            </w: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0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before expenses, to the selling securityholders</w:t>
            </w:r>
            <w:r>
              <w:rPr>
                <w:rFonts w:ascii="Times New Roman" w:cs="Times New Roman" w:eastAsia="Times New Roman" w:hAnsi="Times New Roman"/>
                <w:sz w:val="23"/>
                <w:szCs w:val="23"/>
                <w:color w:val="auto"/>
                <w:vertAlign w:val="superscript"/>
              </w:rPr>
              <w:t>(1)</w:t>
            </w: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4"/>
                <w:szCs w:val="24"/>
                <w:color w:val="auto"/>
              </w:rPr>
            </w:pP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83" w:lineRule="auto"/>
        <w:tabs>
          <w:tab w:leader="none" w:pos="33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agreed to pay the selling securityholders for certain of their expenses in connection with this offering, including all underwriting discounts and commissions applicable to the sale of shares of common stock by the selling securityholders. See the section titled “Underwriting” for additional information regarding compensation payable to the underwriters.</w:t>
      </w:r>
    </w:p>
    <w:p>
      <w:pPr>
        <w:spacing w:after="0" w:line="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selling securityholders have granted the underwriters an option to purchase up to an additional 862,500 shares of our common stock, exercisable within a 30-day period, at the initial public offering price, less underwriting discounts and commissions.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28575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9" w:lineRule="exact"/>
        <w:rPr>
          <w:sz w:val="24"/>
          <w:szCs w:val="24"/>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8"/>
          <w:szCs w:val="18"/>
          <w:color w:val="auto"/>
        </w:rPr>
        <w:t>The underwriters expect to deliver the shares against payment in New York, New York on</w:t>
        <w:tab/>
        <w:t>,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34290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3" w:lineRule="exact"/>
        <w:rPr>
          <w:sz w:val="24"/>
          <w:szCs w:val="24"/>
          <w:color w:val="auto"/>
        </w:rPr>
      </w:pPr>
    </w:p>
    <w:p>
      <w:pPr>
        <w:ind w:left="40"/>
        <w:spacing w:after="0"/>
        <w:tabs>
          <w:tab w:leader="none" w:pos="5100" w:val="left"/>
          <w:tab w:leader="none" w:pos="8120" w:val="left"/>
        </w:tabs>
        <w:rPr>
          <w:sz w:val="20"/>
          <w:szCs w:val="20"/>
          <w:color w:val="auto"/>
        </w:rPr>
      </w:pPr>
      <w:r>
        <w:rPr>
          <w:rFonts w:ascii="Times New Roman" w:cs="Times New Roman" w:eastAsia="Times New Roman" w:hAnsi="Times New Roman"/>
          <w:sz w:val="32"/>
          <w:szCs w:val="32"/>
          <w:b w:val="1"/>
          <w:bCs w:val="1"/>
          <w:color w:val="auto"/>
        </w:rPr>
        <w:t>Goldman Sachs &amp; Co. LLC</w:t>
      </w:r>
      <w:r>
        <w:rPr>
          <w:sz w:val="20"/>
          <w:szCs w:val="20"/>
          <w:color w:val="auto"/>
        </w:rPr>
        <w:tab/>
      </w:r>
      <w:r>
        <w:rPr>
          <w:rFonts w:ascii="Times New Roman" w:cs="Times New Roman" w:eastAsia="Times New Roman" w:hAnsi="Times New Roman"/>
          <w:sz w:val="32"/>
          <w:szCs w:val="32"/>
          <w:b w:val="1"/>
          <w:bCs w:val="1"/>
          <w:color w:val="auto"/>
        </w:rPr>
        <w:t>Evercore ISI</w:t>
      </w:r>
      <w:r>
        <w:rPr>
          <w:sz w:val="20"/>
          <w:szCs w:val="20"/>
          <w:color w:val="auto"/>
        </w:rPr>
        <w:tab/>
      </w:r>
      <w:r>
        <w:rPr>
          <w:rFonts w:ascii="Times New Roman" w:cs="Times New Roman" w:eastAsia="Times New Roman" w:hAnsi="Times New Roman"/>
          <w:sz w:val="32"/>
          <w:szCs w:val="32"/>
          <w:b w:val="1"/>
          <w:bCs w:val="1"/>
          <w:color w:val="auto"/>
        </w:rPr>
        <w:t>UBS Investment Bank</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Stifel</w:t>
      </w:r>
    </w:p>
    <w:p>
      <w:pPr>
        <w:spacing w:after="0" w:line="202" w:lineRule="exact"/>
        <w:rPr>
          <w:sz w:val="24"/>
          <w:szCs w:val="24"/>
          <w:color w:val="auto"/>
        </w:rPr>
      </w:pPr>
    </w:p>
    <w:p>
      <w:pPr>
        <w:ind w:left="20"/>
        <w:spacing w:after="0"/>
        <w:tabs>
          <w:tab w:leader="none" w:pos="4720" w:val="left"/>
          <w:tab w:leader="none" w:pos="8800" w:val="left"/>
        </w:tabs>
        <w:rPr>
          <w:sz w:val="20"/>
          <w:szCs w:val="20"/>
          <w:color w:val="auto"/>
        </w:rPr>
      </w:pPr>
      <w:r>
        <w:rPr>
          <w:rFonts w:ascii="Times New Roman" w:cs="Times New Roman" w:eastAsia="Times New Roman" w:hAnsi="Times New Roman"/>
          <w:sz w:val="25"/>
          <w:szCs w:val="25"/>
          <w:b w:val="1"/>
          <w:bCs w:val="1"/>
          <w:color w:val="auto"/>
        </w:rPr>
        <w:t>Canaccord Genuity</w:t>
      </w:r>
      <w:r>
        <w:rPr>
          <w:sz w:val="20"/>
          <w:szCs w:val="20"/>
          <w:color w:val="auto"/>
        </w:rPr>
        <w:tab/>
      </w:r>
      <w:r>
        <w:rPr>
          <w:rFonts w:ascii="Times New Roman" w:cs="Times New Roman" w:eastAsia="Times New Roman" w:hAnsi="Times New Roman"/>
          <w:sz w:val="25"/>
          <w:szCs w:val="25"/>
          <w:b w:val="1"/>
          <w:bCs w:val="1"/>
          <w:color w:val="auto"/>
        </w:rPr>
        <w:t>Citizens JMP</w:t>
      </w:r>
      <w:r>
        <w:rPr>
          <w:sz w:val="20"/>
          <w:szCs w:val="20"/>
          <w:color w:val="auto"/>
        </w:rPr>
        <w:tab/>
      </w:r>
      <w:r>
        <w:rPr>
          <w:rFonts w:ascii="Times New Roman" w:cs="Times New Roman" w:eastAsia="Times New Roman" w:hAnsi="Times New Roman"/>
          <w:sz w:val="25"/>
          <w:szCs w:val="25"/>
          <w:b w:val="1"/>
          <w:bCs w:val="1"/>
          <w:color w:val="auto"/>
        </w:rPr>
        <w:t>Loop Capital Markets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153035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398" w:lineRule="exact"/>
        <w:rPr>
          <w:sz w:val="24"/>
          <w:szCs w:val="24"/>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color w:val="auto"/>
        </w:rPr>
        <w:t>Prospectus Supplement dated</w:t>
        <w:tab/>
        <w:t>, 2024.</w:t>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5"/>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5"/>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34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ABOUT THIS PROSPECTUS SUPPLEMENT</w:t>
            </w:r>
          </w:p>
        </w:tc>
        <w:tc>
          <w:tcPr>
            <w:tcW w:w="6460" w:type="dxa"/>
            <w:vAlign w:val="bottom"/>
            <w:gridSpan w:val="8"/>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5"/>
              </w:rPr>
              <w:t>S-i</w:t>
            </w:r>
          </w:p>
        </w:tc>
      </w:tr>
      <w:tr>
        <w:trPr>
          <w:trHeight w:val="210"/>
        </w:trPr>
        <w:tc>
          <w:tcPr>
            <w:tcW w:w="33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PROSPECTUS SUPPLEMENT SUMMARY</w:t>
            </w:r>
          </w:p>
        </w:tc>
        <w:tc>
          <w:tcPr>
            <w:tcW w:w="6600" w:type="dxa"/>
            <w:vAlign w:val="bottom"/>
            <w:gridSpan w:val="10"/>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7"/>
              </w:rPr>
              <w:t>S-1</w:t>
            </w:r>
          </w:p>
        </w:tc>
      </w:tr>
      <w:tr>
        <w:trPr>
          <w:trHeight w:val="209"/>
        </w:trPr>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640" w:type="dxa"/>
            <w:vAlign w:val="bottom"/>
            <w:gridSpan w:val="22"/>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S-23</w:t>
            </w:r>
          </w:p>
        </w:tc>
      </w:tr>
      <w:tr>
        <w:trPr>
          <w:trHeight w:val="209"/>
        </w:trPr>
        <w:tc>
          <w:tcPr>
            <w:tcW w:w="53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4560" w:type="dxa"/>
            <w:vAlign w:val="bottom"/>
            <w:gridSpan w:val="3"/>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S-28</w:t>
            </w:r>
          </w:p>
        </w:tc>
      </w:tr>
      <w:tr>
        <w:trPr>
          <w:trHeight w:val="209"/>
        </w:trPr>
        <w:tc>
          <w:tcPr>
            <w:tcW w:w="33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MARKET, INDUSTRY AND OTHER DATA</w:t>
            </w:r>
          </w:p>
        </w:tc>
        <w:tc>
          <w:tcPr>
            <w:tcW w:w="6560" w:type="dxa"/>
            <w:vAlign w:val="bottom"/>
            <w:gridSpan w:val="9"/>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S-30</w:t>
            </w:r>
          </w:p>
        </w:tc>
      </w:tr>
      <w:tr>
        <w:trPr>
          <w:trHeight w:val="210"/>
        </w:trPr>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8300" w:type="dxa"/>
            <w:vAlign w:val="bottom"/>
            <w:gridSpan w:val="18"/>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S-31</w:t>
            </w:r>
          </w:p>
        </w:tc>
      </w:tr>
      <w:tr>
        <w:trPr>
          <w:trHeight w:val="209"/>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DIVIDEND POLICY</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S-32</w:t>
            </w:r>
          </w:p>
        </w:tc>
      </w:tr>
      <w:tr>
        <w:trPr>
          <w:trHeight w:val="210"/>
        </w:trPr>
        <w:tc>
          <w:tcPr>
            <w:tcW w:w="15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DILUTION</w:t>
            </w:r>
          </w:p>
        </w:tc>
        <w:tc>
          <w:tcPr>
            <w:tcW w:w="8320" w:type="dxa"/>
            <w:vAlign w:val="bottom"/>
            <w:gridSpan w:val="19"/>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top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S-33</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AND SELLING SECURITYHOLDERS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S-36</w:t>
            </w:r>
          </w:p>
        </w:tc>
      </w:tr>
      <w:tr>
        <w:trPr>
          <w:trHeight w:val="210"/>
        </w:trPr>
        <w:tc>
          <w:tcPr>
            <w:tcW w:w="28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1020" w:type="dxa"/>
            <w:vAlign w:val="bottom"/>
            <w:tcBorders>
              <w:top w:val="single" w:sz="8" w:color="0000FF"/>
            </w:tcBorders>
            <w:gridSpan w:val="6"/>
          </w:tcPr>
          <w:p>
            <w:pPr>
              <w:spacing w:after="0"/>
              <w:rPr>
                <w:sz w:val="18"/>
                <w:szCs w:val="18"/>
                <w:color w:val="auto"/>
              </w:rPr>
            </w:pPr>
          </w:p>
        </w:tc>
        <w:tc>
          <w:tcPr>
            <w:tcW w:w="6000" w:type="dxa"/>
            <w:vAlign w:val="bottom"/>
            <w:gridSpan w:val="7"/>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top w:val="single" w:sz="8" w:color="0000FF"/>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S-39</w:t>
            </w:r>
          </w:p>
        </w:tc>
      </w:tr>
      <w:tr>
        <w:trPr>
          <w:trHeight w:val="209"/>
        </w:trPr>
        <w:tc>
          <w:tcPr>
            <w:tcW w:w="89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 TO NON-U.S. HOLDERS OF OUR COMMON STOCK</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S-44</w:t>
            </w:r>
          </w:p>
        </w:tc>
      </w:tr>
      <w:tr>
        <w:trPr>
          <w:trHeight w:val="210"/>
        </w:trPr>
        <w:tc>
          <w:tcPr>
            <w:tcW w:w="1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UNDERWRITING</w:t>
            </w:r>
          </w:p>
        </w:tc>
        <w:tc>
          <w:tcPr>
            <w:tcW w:w="8500" w:type="dxa"/>
            <w:vAlign w:val="bottom"/>
            <w:gridSpan w:val="21"/>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S-48</w:t>
            </w:r>
          </w:p>
        </w:tc>
      </w:tr>
      <w:tr>
        <w:trPr>
          <w:trHeight w:val="210"/>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S-56</w:t>
            </w:r>
          </w:p>
        </w:tc>
      </w:tr>
      <w:tr>
        <w:trPr>
          <w:trHeight w:val="209"/>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4"/>
          </w:tcPr>
          <w:p>
            <w:pPr>
              <w:spacing w:after="0"/>
              <w:rPr>
                <w:sz w:val="18"/>
                <w:szCs w:val="18"/>
                <w:color w:val="auto"/>
              </w:rPr>
            </w:pPr>
          </w:p>
        </w:tc>
        <w:tc>
          <w:tcPr>
            <w:tcW w:w="8440" w:type="dxa"/>
            <w:vAlign w:val="bottom"/>
            <w:gridSpan w:val="20"/>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top w:val="single" w:sz="8" w:color="0000FF"/>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S-56</w:t>
            </w:r>
          </w:p>
        </w:tc>
      </w:tr>
      <w:tr>
        <w:trPr>
          <w:trHeight w:val="209"/>
        </w:trPr>
        <w:tc>
          <w:tcPr>
            <w:tcW w:w="44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5460" w:type="dxa"/>
            <w:vAlign w:val="bottom"/>
            <w:gridSpan w:val="5"/>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8"/>
                <w:szCs w:val="18"/>
                <w:color w:val="0000FF"/>
                <w:w w:val="93"/>
              </w:rPr>
              <w:t>S-56</w:t>
            </w:r>
          </w:p>
        </w:tc>
      </w:tr>
      <w:tr>
        <w:trPr>
          <w:trHeight w:val="210"/>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S-56</w:t>
            </w:r>
          </w:p>
        </w:tc>
      </w:tr>
      <w:tr>
        <w:trPr>
          <w:trHeight w:val="493"/>
        </w:trPr>
        <w:tc>
          <w:tcPr>
            <w:tcW w:w="7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720" w:type="dxa"/>
            <w:vAlign w:val="bottom"/>
            <w:gridSpan w:val="4"/>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9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378"/>
        </w:trPr>
        <w:tc>
          <w:tcPr>
            <w:tcW w:w="2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7660" w:type="dxa"/>
            <w:vAlign w:val="bottom"/>
            <w:gridSpan w:val="16"/>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0000FF"/>
              </w:rPr>
              <w:t>i</w:t>
            </w:r>
          </w:p>
        </w:tc>
      </w:tr>
      <w:tr>
        <w:trPr>
          <w:trHeight w:val="210"/>
        </w:trPr>
        <w:tc>
          <w:tcPr>
            <w:tcW w:w="2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PROSPECTUS SUMMARY</w:t>
            </w:r>
          </w:p>
        </w:tc>
        <w:tc>
          <w:tcPr>
            <w:tcW w:w="7800" w:type="dxa"/>
            <w:vAlign w:val="bottom"/>
            <w:gridSpan w:val="17"/>
          </w:tcPr>
          <w:p>
            <w:pPr>
              <w:spacing w:after="0"/>
              <w:rPr>
                <w:sz w:val="18"/>
                <w:szCs w:val="18"/>
                <w:color w:val="auto"/>
              </w:rPr>
            </w:pP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100" w:type="dxa"/>
            <w:vAlign w:val="bottom"/>
            <w:tcBorders>
              <w:right w:val="single" w:sz="8" w:color="0000FF"/>
            </w:tcBorders>
            <w:gridSpan w:val="8"/>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0" w:type="dxa"/>
            <w:vAlign w:val="bottom"/>
            <w:gridSpan w:val="5"/>
          </w:tcPr>
          <w:p>
            <w:pPr>
              <w:spacing w:after="0"/>
              <w:rPr>
                <w:sz w:val="18"/>
                <w:szCs w:val="18"/>
                <w:color w:val="auto"/>
              </w:rPr>
            </w:pPr>
          </w:p>
        </w:tc>
        <w:tc>
          <w:tcPr>
            <w:tcW w:w="7800" w:type="dxa"/>
            <w:vAlign w:val="bottom"/>
            <w:gridSpan w:val="17"/>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10"/>
        </w:trPr>
        <w:tc>
          <w:tcPr>
            <w:tcW w:w="53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4560" w:type="dxa"/>
            <w:vAlign w:val="bottom"/>
            <w:gridSpan w:val="3"/>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10"/>
        </w:trPr>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8300" w:type="dxa"/>
            <w:vAlign w:val="bottom"/>
            <w:gridSpan w:val="18"/>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10"/>
        </w:trPr>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020" w:type="dxa"/>
            <w:vAlign w:val="bottom"/>
            <w:gridSpan w:val="13"/>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9"/>
        </w:trPr>
        <w:tc>
          <w:tcPr>
            <w:tcW w:w="30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DESCRIPTION OF DEBT SECURITIES</w:t>
            </w:r>
          </w:p>
        </w:tc>
        <w:tc>
          <w:tcPr>
            <w:tcW w:w="6860" w:type="dxa"/>
            <w:vAlign w:val="bottom"/>
            <w:gridSpan w:val="11"/>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41</w:t>
            </w:r>
          </w:p>
        </w:tc>
      </w:tr>
      <w:tr>
        <w:trPr>
          <w:trHeight w:val="20"/>
        </w:trPr>
        <w:tc>
          <w:tcPr>
            <w:tcW w:w="2100" w:type="dxa"/>
            <w:vAlign w:val="bottom"/>
            <w:tcBorders>
              <w:right w:val="single" w:sz="8" w:color="0000FF"/>
            </w:tcBorders>
            <w:gridSpan w:val="8"/>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OWNERSHIP OF SECURITIES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43</w:t>
            </w:r>
          </w:p>
        </w:tc>
      </w:tr>
      <w:tr>
        <w:trPr>
          <w:trHeight w:val="210"/>
        </w:trPr>
        <w:tc>
          <w:tcPr>
            <w:tcW w:w="30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SELLING SECURITYHOLDERS</w:t>
            </w:r>
          </w:p>
        </w:tc>
        <w:tc>
          <w:tcPr>
            <w:tcW w:w="6880" w:type="dxa"/>
            <w:vAlign w:val="bottom"/>
            <w:gridSpan w:val="12"/>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10"/>
        </w:trPr>
        <w:tc>
          <w:tcPr>
            <w:tcW w:w="21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PLAN OF DISTRIBUTION</w:t>
            </w:r>
          </w:p>
        </w:tc>
        <w:tc>
          <w:tcPr>
            <w:tcW w:w="400" w:type="dxa"/>
            <w:vAlign w:val="bottom"/>
            <w:tcBorders>
              <w:top w:val="single" w:sz="8" w:color="0000FF"/>
            </w:tcBorders>
            <w:gridSpan w:val="3"/>
          </w:tcPr>
          <w:p>
            <w:pPr>
              <w:spacing w:after="0"/>
              <w:rPr>
                <w:sz w:val="18"/>
                <w:szCs w:val="18"/>
                <w:color w:val="auto"/>
              </w:rPr>
            </w:pPr>
          </w:p>
        </w:tc>
        <w:tc>
          <w:tcPr>
            <w:tcW w:w="7400" w:type="dxa"/>
            <w:vAlign w:val="bottom"/>
            <w:gridSpan w:val="14"/>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09"/>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4"/>
          </w:tcPr>
          <w:p>
            <w:pPr>
              <w:spacing w:after="0"/>
              <w:rPr>
                <w:sz w:val="18"/>
                <w:szCs w:val="18"/>
                <w:color w:val="auto"/>
              </w:rPr>
            </w:pPr>
          </w:p>
        </w:tc>
        <w:tc>
          <w:tcPr>
            <w:tcW w:w="8440" w:type="dxa"/>
            <w:vAlign w:val="bottom"/>
            <w:gridSpan w:val="20"/>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10"/>
        </w:trPr>
        <w:tc>
          <w:tcPr>
            <w:tcW w:w="44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5460" w:type="dxa"/>
            <w:vAlign w:val="bottom"/>
            <w:gridSpan w:val="5"/>
          </w:tcPr>
          <w:p>
            <w:pPr>
              <w:spacing w:after="0"/>
              <w:rPr>
                <w:sz w:val="18"/>
                <w:szCs w:val="18"/>
                <w:color w:val="auto"/>
              </w:rPr>
            </w:pPr>
          </w:p>
        </w:tc>
        <w:tc>
          <w:tcPr>
            <w:tcW w:w="1120" w:type="dxa"/>
            <w:vAlign w:val="bottom"/>
            <w:gridSpan w:val="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10"/>
        </w:trPr>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90"/>
        </w:trPr>
        <w:tc>
          <w:tcPr>
            <w:tcW w:w="7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bottom w:val="single" w:sz="8" w:color="auto"/>
            </w:tcBorders>
          </w:tcPr>
          <w:p>
            <w:pPr>
              <w:spacing w:after="0"/>
              <w:rPr>
                <w:sz w:val="24"/>
                <w:szCs w:val="24"/>
                <w:color w:val="auto"/>
              </w:rPr>
            </w:pPr>
          </w:p>
        </w:tc>
        <w:tc>
          <w:tcPr>
            <w:tcW w:w="740" w:type="dxa"/>
            <w:vAlign w:val="bottom"/>
            <w:tcBorders>
              <w:top w:val="single" w:sz="8" w:color="0000FF"/>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Neither we, the selling securityholders, nor any of the underwriters have authorized anyone to provide you with any information or to make any representations other than those contained in this prospectus supplement or in any free writing prospectuses we have prepared. Neither we, the selling securityholders, nor any of the underwriters take any responsibility for, and can provide no assurance as to the reliability of, any other information that others may give you. We, the selling securityholders, and the underwriters are offering to sell, and seeking offers to buy, shares of our common stock only in jurisdictions where offers and sales are permitted. Our business, financial condition, results of operations, and future growth prospects may have changed since the date of this prospectus supplement.</w:t>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the selling securityholders, nor any of the underwriters have done anything that would permit the use of or possession or distribution of this prospectus supplement in any jurisdiction where action for that purpose is required, other than in the United States. Persons outside of the United States who come into possession of this prospectus supplement must inform themselves about, and observe any restrictions relating to, the offering of the shares of our common stock and the distribution of this prospectus supplement outside of the United States.</w:t>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prospectus supplement, unless the context suggests otherwise, the terms:</w:t>
      </w:r>
    </w:p>
    <w:p>
      <w:pPr>
        <w:spacing w:after="0" w:line="171"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“Life360” and “Company” refer to Life360, Inc., a Delaware corporation, and its subsidiaries;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 “USD” refers to U.S.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or “AUD” refers to Australian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user” refers to a member who opens the Life360 app after completing their registration;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“ANZ” refers, collectively, to Australia and New Zealand;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“ARPPC” refers to Average Revenue per Paying Circle. See “Summary Selected Condensed Consolidated Financial and Other Data” for more information on our key performance indicators, including how we define these metrics;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ARPPS” refers to Average Revenue per Paying Subscription. See “Summary Selected Condensed Consolidated Financial and Other Data” for more information on our key performance indicators, including how we define these metrics;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“ASX” refers to ASX Limited (ABN: 98 008 624 691) or the financial market known as the Australian Securities Exchange operated by it (as appropriate);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refers to the board of directors of Life360,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refers to the amended and restated bylaws of Life360, Inc., as currently in effect;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“CDIs” refers to CHESS Depositary Interests;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“CDN” refers to CHESS Depositary Nominees Pty Limited;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Incorporation” refers to the amended and restated certificate of incorporation of Life360, Inc., as amended;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“CHESS” refers to the Clearing House Electronic Subregister System;</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“Circles” refers to private groups created by members on the Life360 Platform, which allow members to stay connected to other members in the Circle with Circle-specific features such as location sharing, messaging and check-ins;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refers to the U.S. Internal Revenue Code of 1986, as amended;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“DAUs” refers to daily active users;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refers to the Delaware General Corporation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“FATCA” refers to Sections 1471 through 1474 of the Code;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refers to generally accepted accounting principles in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refers to the Internal Revenue Service;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“Jabil” refers to Jabil Inc., a Delaware corporation;</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“Jiobit” refers to Jio, Inc., a Delaware corporation and a wholly-owned subsidiary of Life360, Inc.;</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“Life360 Platform” refers to the suite of Life360 offerings of products and services including the Life360 mobile application and related third-party services but excluding Tile and Jiobit offerings;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“Life360 Service” refers to the suite of Life360 offerings of products and services including the Life360, Tile and Jiobit mobile applications and related third-party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“MAUs” refers to monthly active users of the Life360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refers to the users of the applicable Life360 Service;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Circles” refers to the Circles covered by a subscription. See “Summary Selected Condensed Consolidated Financial and Other Data” for more information on our key performance indicators, including how we define these metrics;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refers to a restricted stock unit;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U.S. Securities and Exchange Commission;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refers to the holders of beneficial interest of shares of our common stock, including the shares of our common stock underlying our CDIs;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refers to a person who has purchased a subscription to any Life360 Service;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refers to a paid subscription to any Life360 Service;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 refers to global total addressable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“Tile” refers to Tile, Inc., a Delaware corporation and wholly-owned subsidiary of Life360, Inc.;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“United States” refers to the United States of America.</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9, 2024, we filed with the SEC a registration statement on Form S-3 (File No. 333-279271) utilizing a shelf registration process relating to certain securities, including the securities described in this prospectus supplement, which registration statement became effective automatically upon filing. This document is in two parts. The first part is the prospectus supplement, including the documents incorporated by reference, which describes the specific terms of this offering. The second part, the accompanying prospectus, including the documents incorporated by reference, provides more general information, some of which may not be applicable to this offering of our common stock. Generally, when we refer to this prospectus supplement, we are referring to both parts combined. Before you invest, you should carefully read this prospectus supplement, the accompanying prospectus, all information incorporated by reference herein and therein, as well as the additional information described under “Where You Can Find Additional Information” and “Incorporation of Certain Information by Reference” in this prospectus supplement. These documents contain information you should consider when making your investment decision. This prospectus supplement may add, update or change information contained in the accompanying prospectus. To the extent that any statement in this prospectus supplement is inconsistent with statements made in the accompanying prospectus or any documents incorporated by reference, the statements made in this prospectus supplement will be deemed to modify or supersede those made in the accompanying prospectus and such documents incorporated by reference.</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the accompanying prospectus and in any free writing prospectuses we authorize for use in connection with this offering. Neither we, the selling securityholders nor the underwriters have authorized any other person to provide you with any information that is different. If anyone provides you with different or inconsistent information, you should not rely on it. We and the selling securityholders are offering to sell, and seeking offers to buy, the securities offered hereby only in jurisdictions where offers and sales are permitted. The distribution of this prospectus supplement and the offering of the securities offered hereby in certain jurisdictions may be restricted by law. Persons outside the United States who come into possession of this prospectus supplement must inform themselves about, and observe any restrictions relating to, the offering of the securities offered hereby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summaries of certain provisions contained in some of the documents described herein and therein, but reference is made to the actual documents for complete information. All of the summaries are qualified in their entirety by the actual documents. Copies of some of the documents referred to have been filed, will be filed or will be incorporated by reference as exhibits to the registration statement of which this prospectus supplement and the accompanying prospectus are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733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673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3"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supplement or incorporated by reference in this prospectus supplement. This summary does not contain all of the information you should consider before investing in our common stock. You should carefully read this entire prospectus supplement, the accompanying prospectus and any related free writing prospectus that we authorize for use in connection with this offering, including the sections titled “Risk Factors” and “Special Note Regarding Forward-Looking Statements,” before making an investment decision. You should also carefully read the information incorporated by reference into this prospectus supplement and the accompanying prospectus, including our financial statements, and the exhibits to the registration statement of which this prospectus supplement is a part.</w:t>
      </w:r>
    </w:p>
    <w:p>
      <w:pPr>
        <w:spacing w:after="0" w:line="1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left="680" w:right="20"/>
        <w:spacing w:after="0" w:line="255" w:lineRule="auto"/>
        <w:rPr>
          <w:sz w:val="20"/>
          <w:szCs w:val="20"/>
          <w:color w:val="auto"/>
        </w:rPr>
      </w:pPr>
      <w:r>
        <w:rPr>
          <w:rFonts w:ascii="Times New Roman" w:cs="Times New Roman" w:eastAsia="Times New Roman" w:hAnsi="Times New Roman"/>
          <w:sz w:val="18"/>
          <w:szCs w:val="18"/>
          <w:color w:val="auto"/>
        </w:rPr>
        <w:t>Life360 is a leading technology platform connecting millions of people throughout the world to the people, pets and things they care about most. We have created a new category at the intersection of family, technology, and safety to help keep families connected and safe. Our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three membership subscription options that are available but not required.</w:t>
      </w:r>
    </w:p>
    <w:p>
      <w:pPr>
        <w:spacing w:after="0" w:line="13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We acquired Jiobit and Tile in September 2021 and January 2022, respectively, to create a comprehensive platform-agnostic location tracking solution for people, pets and things. Jiobit is a leading wearable location device for young children, pets and seniors and Tile is a leading product suite of location trackers for finding objects.</w:t>
      </w:r>
    </w:p>
    <w:p>
      <w:pPr>
        <w:spacing w:after="0" w:line="122"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Our suite of product and service offerings, including the Life360 and Tile mobile applications, and related third-party services, is system and platform-agnostic, allowing our products and services to work seamlessly for our members, regardless of the devices they use. As of March 31, 2024, we had approximately 66.4 million MAUs and 1.9 million global Paying Circles on the Life360 Platform, representing a year-over-year increase of 31%, and 21%, respectively.</w:t>
      </w:r>
    </w:p>
    <w:p>
      <w:pPr>
        <w:spacing w:after="0" w:line="126"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Our revenue is primarily generated from the sale of subscriptions and hardware tracking devices used to access our services across our two major brands, Life360 and Tile. In addition, a portion of our revenue is generated indirectly from the sale of aggregated data (non-personally identifiable information) for the purposes of data insights from our member base to our partners and from the sale of third-party products and services, including through the placement of ads within our platform.</w:t>
      </w:r>
    </w:p>
    <w:p>
      <w:pPr>
        <w:spacing w:after="0" w:line="1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For the years ended December 31, 2023, 2022, and 2021, we generated:</w:t>
      </w:r>
    </w:p>
    <w:p>
      <w:pPr>
        <w:spacing w:after="0" w:line="171" w:lineRule="exact"/>
        <w:rPr>
          <w:sz w:val="20"/>
          <w:szCs w:val="20"/>
          <w:color w:val="auto"/>
        </w:rPr>
      </w:pPr>
    </w:p>
    <w:p>
      <w:pPr>
        <w:ind w:left="1000"/>
        <w:spacing w:after="0"/>
        <w:tabs>
          <w:tab w:leader="none" w:pos="1300" w:val="left"/>
        </w:tabs>
        <w:rPr>
          <w:sz w:val="20"/>
          <w:szCs w:val="20"/>
          <w:color w:val="auto"/>
        </w:rPr>
      </w:pPr>
      <w:r>
        <w:rPr>
          <w:rFonts w:ascii="Times New Roman" w:cs="Times New Roman" w:eastAsia="Times New Roman" w:hAnsi="Times New Roman"/>
          <w:sz w:val="18"/>
          <w:szCs w:val="18"/>
          <w:color w:val="auto"/>
        </w:rPr>
        <w:t>•</w:t>
        <w:tab/>
        <w:t>Total revenue of $304.5 million, $228.3 million, and $112.6 million, respectively;</w:t>
      </w:r>
    </w:p>
    <w:p>
      <w:pPr>
        <w:spacing w:after="0" w:line="27" w:lineRule="exact"/>
        <w:rPr>
          <w:sz w:val="20"/>
          <w:szCs w:val="20"/>
          <w:color w:val="auto"/>
        </w:rPr>
      </w:pPr>
    </w:p>
    <w:p>
      <w:pPr>
        <w:ind w:left="1320" w:right="2600"/>
        <w:spacing w:after="0" w:line="250" w:lineRule="auto"/>
        <w:rPr>
          <w:sz w:val="20"/>
          <w:szCs w:val="20"/>
          <w:color w:val="auto"/>
        </w:rPr>
      </w:pPr>
      <w:r>
        <w:rPr>
          <w:rFonts w:ascii="Times New Roman" w:cs="Times New Roman" w:eastAsia="Times New Roman" w:hAnsi="Times New Roman"/>
          <w:sz w:val="18"/>
          <w:szCs w:val="18"/>
          <w:color w:val="auto"/>
        </w:rPr>
        <w:t>◦ Subscription revenue of $220.8 million, $153.3 million, and $86.6 million, respectively; ◦ Hardware revenue of $58.2 million, $47.9 million, and $1.0 million, respectively; ◦ Other revenue of $25.5 million, $27.1 million, and $25.1 million, respectively;</w:t>
      </w:r>
    </w:p>
    <w:p>
      <w:pPr>
        <w:spacing w:after="0" w:line="1" w:lineRule="exact"/>
        <w:rPr>
          <w:sz w:val="20"/>
          <w:szCs w:val="20"/>
          <w:color w:val="auto"/>
        </w:rPr>
      </w:pPr>
    </w:p>
    <w:p>
      <w:pPr>
        <w:ind w:left="1000"/>
        <w:spacing w:after="0"/>
        <w:tabs>
          <w:tab w:leader="none" w:pos="1300" w:val="left"/>
        </w:tabs>
        <w:rPr>
          <w:sz w:val="20"/>
          <w:szCs w:val="20"/>
          <w:color w:val="auto"/>
        </w:rPr>
      </w:pPr>
      <w:r>
        <w:rPr>
          <w:rFonts w:ascii="Times New Roman" w:cs="Times New Roman" w:eastAsia="Times New Roman" w:hAnsi="Times New Roman"/>
          <w:sz w:val="18"/>
          <w:szCs w:val="18"/>
          <w:color w:val="auto"/>
        </w:rPr>
        <w:t>•</w:t>
        <w:tab/>
        <w:t>Net loss of $28.2 million, $91.6 million, and $33.6 million, respectively; and</w:t>
      </w:r>
    </w:p>
    <w:p>
      <w:pPr>
        <w:spacing w:after="0" w:line="9" w:lineRule="exact"/>
        <w:rPr>
          <w:sz w:val="20"/>
          <w:szCs w:val="20"/>
          <w:color w:val="auto"/>
        </w:rPr>
      </w:pPr>
    </w:p>
    <w:p>
      <w:pPr>
        <w:ind w:left="1000"/>
        <w:spacing w:after="0"/>
        <w:tabs>
          <w:tab w:leader="none" w:pos="1300" w:val="left"/>
        </w:tabs>
        <w:rPr>
          <w:sz w:val="20"/>
          <w:szCs w:val="20"/>
          <w:color w:val="auto"/>
        </w:rPr>
      </w:pPr>
      <w:r>
        <w:rPr>
          <w:rFonts w:ascii="Times New Roman" w:cs="Times New Roman" w:eastAsia="Times New Roman" w:hAnsi="Times New Roman"/>
          <w:sz w:val="18"/>
          <w:szCs w:val="18"/>
          <w:color w:val="auto"/>
        </w:rPr>
        <w:t>•</w:t>
        <w:tab/>
        <w:t>Adjusted EBITDA of $20.6 million, $(40.1) million, and $(13.1) million, respectively.</w:t>
      </w:r>
      <w:r>
        <w:rPr>
          <w:rFonts w:ascii="Times New Roman" w:cs="Times New Roman" w:eastAsia="Times New Roman" w:hAnsi="Times New Roman"/>
          <w:sz w:val="23"/>
          <w:szCs w:val="23"/>
          <w:color w:val="auto"/>
          <w:vertAlign w:val="superscript"/>
        </w:rPr>
        <w:t>1</w:t>
      </w: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See “Summary Selected Condensed Consolidated Financial and Other Data—Non-GAAP Financial Information” for a reconciliation to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580"/>
          </w:cols>
          <w:pgMar w:left="320" w:top="12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811530</wp:posOffset>
            </wp:positionV>
            <wp:extent cx="7136130" cy="7804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804785"/>
                    </a:xfrm>
                    <a:prstGeom prst="rect">
                      <a:avLst/>
                    </a:prstGeom>
                    <a:noFill/>
                  </pic:spPr>
                </pic:pic>
              </a:graphicData>
            </a:graphic>
          </wp:anchor>
        </w:drawing>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jc w:val="both"/>
        <w:ind w:left="1000" w:hanging="323"/>
        <w:spacing w:after="0" w:line="269" w:lineRule="auto"/>
        <w:rPr>
          <w:sz w:val="20"/>
          <w:szCs w:val="20"/>
          <w:color w:val="auto"/>
        </w:rPr>
      </w:pPr>
      <w:r>
        <w:rPr>
          <w:rFonts w:ascii="Times New Roman" w:cs="Times New Roman" w:eastAsia="Times New Roman" w:hAnsi="Times New Roman"/>
          <w:sz w:val="14"/>
          <w:szCs w:val="14"/>
          <w:color w:val="auto"/>
        </w:rPr>
        <w:t>Note: As of March 31, 2024 unless otherwise stated. 1. Available in 133 countries through Google Play Store. 2. Based on approximately 38.8 million U.S. MAUs compared to the total U.S. population adjusted for smartphone penetration. 3. By Daily Active Users on the Apple App Store in the U.S. as of March 2024. 4. In full-year 2023.</w:t>
      </w:r>
    </w:p>
    <w:p>
      <w:pPr>
        <w:spacing w:after="0" w:line="3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Life360 Platform</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currently offer four key product features that make up the Life360 Platform: (i) location coordination and safety, (ii) driving safety,</w:t>
      </w:r>
    </w:p>
    <w:p>
      <w:pPr>
        <w:spacing w:after="0" w:line="27" w:lineRule="exact"/>
        <w:rPr>
          <w:sz w:val="20"/>
          <w:szCs w:val="20"/>
          <w:color w:val="auto"/>
        </w:rPr>
      </w:pPr>
    </w:p>
    <w:p>
      <w:pPr>
        <w:jc w:val="both"/>
        <w:ind w:left="680" w:hanging="6"/>
        <w:spacing w:after="0" w:line="252" w:lineRule="auto"/>
        <w:tabs>
          <w:tab w:leader="none" w:pos="10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safety, and (iv) emergency assistance. Each of these features keeps members connected to the important people in their lives by organizing them into groups called “Circles”. A member selects who to invite to their Circle and what information a Circle, or any individual member within that Circle, receives. Location coordination and safety features include real-time location, location history, and smart notifications such as location-specific alerts, driving alerts, and crime reports. Driving safety features include crash detection, roadside assistance, family driving summaries, and individual driver reports. Digital safety features include data breach alerts, identity theft protection, stolen funds reimbursement, and credit monitoring. Emergency assistance features include SOS with emergency dispatch, disaster response, medical assistance, and travel support.</w:t>
      </w:r>
    </w:p>
    <w:p>
      <w:pPr>
        <w:spacing w:after="0" w:line="1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Hardware Products</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Our hardware products under the Tile brand seamlessly integrate with the Life360 Platform. The Tile bluetooth network leverages the installed base of Life360 members to scan for locations of devices, generating even higher confidence that we can locate lost devices of Tile customers. Tile devices are sold through online and brick and mortar retail channels as well as directly via Tile.com in various shapes, sizes, and price points for different use cases. The Tile mobile application offers a free service as well as two paid subscription options: Premium and Premium Protect, which offer additional services such as warranties and item reimbursement.</w:t>
      </w:r>
    </w:p>
    <w:p>
      <w:pPr>
        <w:spacing w:after="0" w:line="129"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The Jiobit product line, which we intend to rebrand to align with the Tile brand, offers wearable location devices for young children, pets, and seniors. Currently, it is offered exclusively in the U.S. via online retailers. Customers purchase a GPS enabled device and a monthly subscription to access location tracking services.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To help families stay connected and safe, we have developed a scalable mobile-first technology platform that protects our members’ data and ensures operational integrity, security, and performance. Highlights of our technology platform include a robust location engine design, scalable and modern technology infrastructure, and seamless third-party integration.</w:t>
      </w:r>
    </w:p>
    <w:p>
      <w:pPr>
        <w:sectPr>
          <w:pgSz w:w="11900" w:h="16838" w:orient="portrait"/>
          <w:cols w:equalWidth="0" w:num="1">
            <w:col w:w="10580"/>
          </w:cols>
          <w:pgMar w:left="320" w:top="12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S-2</w:t>
      </w:r>
    </w:p>
    <w:p>
      <w:pPr>
        <w:sectPr>
          <w:pgSz w:w="11900" w:h="16838" w:orient="portrait"/>
          <w:cols w:equalWidth="0" w:num="1">
            <w:col w:w="10580"/>
          </w:cols>
          <w:pgMar w:left="320" w:top="121"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093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spacing w:after="0" w:line="253" w:lineRule="auto"/>
        <w:rPr>
          <w:sz w:val="20"/>
          <w:szCs w:val="20"/>
          <w:color w:val="auto"/>
        </w:rPr>
      </w:pPr>
      <w:r>
        <w:rPr>
          <w:rFonts w:ascii="Times New Roman" w:cs="Times New Roman" w:eastAsia="Times New Roman" w:hAnsi="Times New Roman"/>
          <w:sz w:val="18"/>
          <w:szCs w:val="18"/>
          <w:color w:val="auto"/>
        </w:rPr>
        <w:t>We have designed an end-to-end technology location solution that allows us to deliver real-time location-based experiences and includes functionality such as storage, processing and communication of events, locations, drives, maps, places, networking, and visualization of device characteristics for people, pets and things. The Tile finding network has been integrated into the Life360 Platform. This integration allows members and Paying Circles to keep track of their things and connect with each other through the Life360 Platform. We have signed a non-binding letter of intent (“LOI”) with Hubble, a global satellite network designed for any bluetooth-enabled device to connect to, regarding a potential partnership that, upon the expansion of Hubble’s satellite constellation, we expect to expand our location tracking capabilities. Life360 and Hubble aim to build a global finder network, enabling partners to develop bluetooth finding devices capable of continuous global location sharing, independent of cellular connectivity. If integrated, this initiative would connect Life360’s extensive network of smartphones with Hubble’s satellite connectivity to form a unique network that locates devices from both space, using the Hubble constellation, and on the ground, via Life360’s widely used app.</w:t>
      </w:r>
    </w:p>
    <w:p>
      <w:pPr>
        <w:spacing w:after="0" w:line="140"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We utilize third-party services for our backend platform and infrastructure to connect to our apps and the hardware devices running them. Using these services grants us access to a highly distributed, scalable, reliable, and secure architecture for global delivery of our mission critical services with potential to extend features and functionality—from dispatching tow trucks for roadside assistance to connecting calls for 24/7 SOS help.</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175" w:lineRule="exact"/>
        <w:rPr>
          <w:sz w:val="20"/>
          <w:szCs w:val="20"/>
          <w:color w:val="auto"/>
        </w:rPr>
      </w:pPr>
    </w:p>
    <w:p>
      <w:pPr>
        <w:jc w:val="both"/>
        <w:ind w:left="680"/>
        <w:spacing w:after="0" w:line="255" w:lineRule="auto"/>
        <w:rPr>
          <w:sz w:val="20"/>
          <w:szCs w:val="20"/>
          <w:color w:val="auto"/>
        </w:rPr>
      </w:pPr>
      <w:r>
        <w:rPr>
          <w:rFonts w:ascii="Times New Roman" w:cs="Times New Roman" w:eastAsia="Times New Roman" w:hAnsi="Times New Roman"/>
          <w:sz w:val="18"/>
          <w:szCs w:val="18"/>
          <w:color w:val="auto"/>
        </w:rPr>
        <w:t>We are a market leader in family safety, connecting millions of people globally through software and hardware to the people, pets and things they care most about. We offer a range of services including location sharing, safe driver reports, and crash detection with emergency dispatch. The widespread proliferation and continued growth of connected devices has led to a normalization of location sharing for a wide range of consumer applications such as item tracking, communication, social coordination or travel. From December 2018 through March 2024, the global location sharing app market alone has grown at a 22% CAGR, according to Data.ai. With our location-based technology as an anchor and our holistic approach to create the most trusted family connectivity and safety brand, we believe we can directly address multiple large, global market opportunities across our core and emerging offerings:</w:t>
      </w:r>
    </w:p>
    <w:p>
      <w:pPr>
        <w:spacing w:after="0" w:line="135" w:lineRule="exact"/>
        <w:rPr>
          <w:sz w:val="20"/>
          <w:szCs w:val="20"/>
          <w:color w:val="auto"/>
        </w:rPr>
      </w:pPr>
    </w:p>
    <w:p>
      <w:pPr>
        <w:jc w:val="both"/>
        <w:ind w:left="1320" w:right="20" w:hanging="322"/>
        <w:spacing w:after="0" w:line="261"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 Services.</w:t>
      </w:r>
      <w:r>
        <w:rPr>
          <w:rFonts w:ascii="Times New Roman" w:cs="Times New Roman" w:eastAsia="Times New Roman" w:hAnsi="Times New Roman"/>
          <w:sz w:val="18"/>
          <w:szCs w:val="18"/>
          <w:color w:val="auto"/>
        </w:rPr>
        <w:t xml:space="preserve"> The Life360 Platform is currently available in 171 countries through the Apple App Store and 133 countries through the Google Play Store through both tiered and single subscription offerings. We believe that the opportunity for our core subscription offerings alone translates into a TAM of $75 billion. Our core subscription offering consists of a bundle of services that competes with a variety of single point solutions, including:</w:t>
      </w:r>
    </w:p>
    <w:p>
      <w:pPr>
        <w:spacing w:after="0" w:line="123" w:lineRule="exact"/>
        <w:rPr>
          <w:rFonts w:ascii="Times New Roman" w:cs="Times New Roman" w:eastAsia="Times New Roman" w:hAnsi="Times New Roman"/>
          <w:sz w:val="18"/>
          <w:szCs w:val="18"/>
          <w:color w:val="auto"/>
        </w:rPr>
      </w:pPr>
    </w:p>
    <w:p>
      <w:pPr>
        <w:ind w:left="1640" w:right="20" w:hanging="318"/>
        <w:spacing w:after="0" w:line="284" w:lineRule="auto"/>
        <w:tabs>
          <w:tab w:leader="none" w:pos="165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Location Sharing. </w:t>
      </w:r>
      <w:r>
        <w:rPr>
          <w:rFonts w:ascii="Times New Roman" w:cs="Times New Roman" w:eastAsia="Times New Roman" w:hAnsi="Times New Roman"/>
          <w:sz w:val="18"/>
          <w:szCs w:val="18"/>
          <w:color w:val="auto"/>
        </w:rPr>
        <w:t>Our location sharing and associated safety features are a core pillar of our service, providing peace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mind for members by knowing location activity, receiving notifications and coordinating through messaging.</w:t>
      </w:r>
    </w:p>
    <w:p>
      <w:pPr>
        <w:spacing w:after="0" w:line="104" w:lineRule="exact"/>
        <w:rPr>
          <w:rFonts w:ascii="Times New Roman" w:cs="Times New Roman" w:eastAsia="Times New Roman" w:hAnsi="Times New Roman"/>
          <w:sz w:val="18"/>
          <w:szCs w:val="18"/>
          <w:color w:val="auto"/>
        </w:rPr>
      </w:pPr>
    </w:p>
    <w:p>
      <w:pPr>
        <w:ind w:left="1640" w:right="20" w:hanging="318"/>
        <w:spacing w:after="0" w:line="284" w:lineRule="auto"/>
        <w:tabs>
          <w:tab w:leader="none" w:pos="16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Driving Safety. </w:t>
      </w:r>
      <w:r>
        <w:rPr>
          <w:rFonts w:ascii="Times New Roman" w:cs="Times New Roman" w:eastAsia="Times New Roman" w:hAnsi="Times New Roman"/>
          <w:sz w:val="18"/>
          <w:szCs w:val="18"/>
          <w:color w:val="auto"/>
        </w:rPr>
        <w:t>Our crash detection features can sense collisions, and we deploy emergency response and have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aid with roadside issues such as towing services or minor repairs like jumpstarting a car battery.</w:t>
      </w:r>
    </w:p>
    <w:p>
      <w:pPr>
        <w:spacing w:after="0" w:line="104" w:lineRule="exact"/>
        <w:rPr>
          <w:rFonts w:ascii="Times New Roman" w:cs="Times New Roman" w:eastAsia="Times New Roman" w:hAnsi="Times New Roman"/>
          <w:sz w:val="18"/>
          <w:szCs w:val="18"/>
          <w:color w:val="auto"/>
        </w:rPr>
      </w:pPr>
    </w:p>
    <w:p>
      <w:pPr>
        <w:ind w:left="1640" w:right="20" w:hanging="318"/>
        <w:spacing w:after="0" w:line="284" w:lineRule="auto"/>
        <w:tabs>
          <w:tab w:leader="none" w:pos="16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Stolen Phone Protection. </w:t>
      </w:r>
      <w:r>
        <w:rPr>
          <w:rFonts w:ascii="Times New Roman" w:cs="Times New Roman" w:eastAsia="Times New Roman" w:hAnsi="Times New Roman"/>
          <w:sz w:val="18"/>
          <w:szCs w:val="18"/>
          <w:color w:val="auto"/>
        </w:rPr>
        <w:t>Our stolen phone protection provides coverage for members in the U.S., Canada, ANZ,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Kingdom in the event their phone is stolen.</w:t>
      </w:r>
    </w:p>
    <w:p>
      <w:pPr>
        <w:spacing w:after="0" w:line="104" w:lineRule="exact"/>
        <w:rPr>
          <w:rFonts w:ascii="Times New Roman" w:cs="Times New Roman" w:eastAsia="Times New Roman" w:hAnsi="Times New Roman"/>
          <w:sz w:val="18"/>
          <w:szCs w:val="18"/>
          <w:color w:val="auto"/>
        </w:rPr>
      </w:pPr>
    </w:p>
    <w:p>
      <w:pPr>
        <w:jc w:val="both"/>
        <w:ind w:left="1640" w:hanging="318"/>
        <w:spacing w:after="0" w:line="267" w:lineRule="auto"/>
        <w:tabs>
          <w:tab w:leader="none" w:pos="165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Emergency Assistance. </w:t>
      </w:r>
      <w:r>
        <w:rPr>
          <w:rFonts w:ascii="Times New Roman" w:cs="Times New Roman" w:eastAsia="Times New Roman" w:hAnsi="Times New Roman"/>
          <w:sz w:val="18"/>
          <w:szCs w:val="18"/>
          <w:color w:val="auto"/>
        </w:rPr>
        <w:t>Through emergency assistance, our Platinum members have access to medical professionals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offer referrals and provide reliable and trusted information. Further, members can get expert advice and help in unpredictable situations such as natural disasters or travel support both before and during travels.</w:t>
      </w:r>
    </w:p>
    <w:p>
      <w:pPr>
        <w:spacing w:after="0" w:line="119" w:lineRule="exact"/>
        <w:rPr>
          <w:rFonts w:ascii="Times New Roman" w:cs="Times New Roman" w:eastAsia="Times New Roman" w:hAnsi="Times New Roman"/>
          <w:sz w:val="18"/>
          <w:szCs w:val="18"/>
          <w:color w:val="auto"/>
        </w:rPr>
      </w:pPr>
    </w:p>
    <w:p>
      <w:pPr>
        <w:jc w:val="both"/>
        <w:ind w:left="1640" w:right="20" w:hanging="318"/>
        <w:spacing w:after="0" w:line="267" w:lineRule="auto"/>
        <w:tabs>
          <w:tab w:leader="none" w:pos="165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Safety. </w:t>
      </w:r>
      <w:r>
        <w:rPr>
          <w:rFonts w:ascii="Times New Roman" w:cs="Times New Roman" w:eastAsia="Times New Roman" w:hAnsi="Times New Roman"/>
          <w:sz w:val="18"/>
          <w:szCs w:val="18"/>
          <w:color w:val="auto"/>
        </w:rPr>
        <w:t>Increased data breaches, credit card, bank and identity fraud has driven a need for digital safety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consumers. We leverage our aggregated data to offer proactive protection, notify about potential threats, and assist our members in remediation.</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S-3</w:t>
      </w:r>
    </w:p>
    <w:p>
      <w:pPr>
        <w:sectPr>
          <w:pgSz w:w="11900" w:h="16838" w:orient="portrait"/>
          <w:cols w:equalWidth="0" w:num="1">
            <w:col w:w="10580"/>
          </w:cols>
          <w:pgMar w:left="320" w:top="121"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513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51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hanging="322"/>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Item Tracking.</w:t>
      </w:r>
      <w:r>
        <w:rPr>
          <w:rFonts w:ascii="Times New Roman" w:cs="Times New Roman" w:eastAsia="Times New Roman" w:hAnsi="Times New Roman"/>
          <w:sz w:val="18"/>
          <w:szCs w:val="18"/>
          <w:color w:val="auto"/>
        </w:rPr>
        <w:t xml:space="preserve"> Tile is a leading brand in the rapidly growing smart tracker industry helping address the everyday pain point of losing or misplacing the things that matter most to our members. The market for bluetooth tracking and finding devices was estimated to be $2.1 billion in 2023, expected to grow at an estimated CAGR of 30% to $16.7 billion from 2023 to 2031, according to Intellectual Market Insights Report.</w:t>
      </w:r>
    </w:p>
    <w:p>
      <w:pPr>
        <w:spacing w:after="0" w:line="125" w:lineRule="exact"/>
        <w:rPr>
          <w:rFonts w:ascii="Times New Roman" w:cs="Times New Roman" w:eastAsia="Times New Roman" w:hAnsi="Times New Roman"/>
          <w:sz w:val="18"/>
          <w:szCs w:val="18"/>
          <w:color w:val="auto"/>
        </w:rPr>
      </w:pPr>
    </w:p>
    <w:p>
      <w:pPr>
        <w:jc w:val="both"/>
        <w:ind w:left="1320" w:hanging="322"/>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Pet Tracking.</w:t>
      </w:r>
      <w:r>
        <w:rPr>
          <w:rFonts w:ascii="Times New Roman" w:cs="Times New Roman" w:eastAsia="Times New Roman" w:hAnsi="Times New Roman"/>
          <w:sz w:val="18"/>
          <w:szCs w:val="18"/>
          <w:color w:val="auto"/>
        </w:rPr>
        <w:t xml:space="preserve"> The American Pet Product Association estimates that there are over 110 million cats and dogs in households in the U.S. The global pet wearable market is expected to grow at a 14% CAGR from $2.7 billion in 2023 to $6.9 billion by 2030. Within our member base, 65% of surveyed U.S. members owning a pet would be interested in a pet tracker as part of their Life360 subscription, demonstrating the strong market fit for our offering and our goal to capture this opportunity.</w:t>
      </w:r>
    </w:p>
    <w:p>
      <w:pPr>
        <w:spacing w:after="0" w:line="125" w:lineRule="exact"/>
        <w:rPr>
          <w:rFonts w:ascii="Times New Roman" w:cs="Times New Roman" w:eastAsia="Times New Roman" w:hAnsi="Times New Roman"/>
          <w:sz w:val="18"/>
          <w:szCs w:val="18"/>
          <w:color w:val="auto"/>
        </w:rPr>
      </w:pPr>
    </w:p>
    <w:p>
      <w:pPr>
        <w:jc w:val="both"/>
        <w:ind w:left="1320" w:right="20" w:hanging="322"/>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Advertising.</w:t>
      </w:r>
      <w:r>
        <w:rPr>
          <w:rFonts w:ascii="Times New Roman" w:cs="Times New Roman" w:eastAsia="Times New Roman" w:hAnsi="Times New Roman"/>
          <w:sz w:val="18"/>
          <w:szCs w:val="18"/>
          <w:color w:val="auto"/>
        </w:rPr>
        <w:t xml:space="preserve"> The global mobile advertising market is estimated to be $402 billion in 2024 by Data.ai. We believe our leading consumer-centric platform, our highly-engaged member base and our valuable first-party data position us to capture a portion of this market while still prioritizing the quality of our members’ experiences and privacy. We believe advertising in the U.S. alone could be a $3.1 billion addressable opportunity for us.</w:t>
      </w:r>
    </w:p>
    <w:p>
      <w:pPr>
        <w:spacing w:after="0" w:line="126"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As part of our growth roadmap, we expect to leverage our core experience to drive growth in adjacent markets, expand our addressable market, and integrate Life360 into all life stages. We believe our TAM includes adjacent opportunities such as auto insurance, a $382 billion market in the U.S. in 2023 alone, according to Mordor Intelligence, as well as elderly monitoring and family financial services.</w:t>
      </w:r>
    </w:p>
    <w:p>
      <w:pPr>
        <w:spacing w:after="0" w:line="122" w:lineRule="exact"/>
        <w:rPr>
          <w:sz w:val="20"/>
          <w:szCs w:val="20"/>
          <w:color w:val="auto"/>
        </w:rPr>
      </w:pPr>
    </w:p>
    <w:p>
      <w:pPr>
        <w:jc w:val="both"/>
        <w:ind w:left="680"/>
        <w:spacing w:after="0" w:line="255" w:lineRule="auto"/>
        <w:rPr>
          <w:sz w:val="20"/>
          <w:szCs w:val="20"/>
          <w:color w:val="auto"/>
        </w:rPr>
      </w:pPr>
      <w:r>
        <w:rPr>
          <w:rFonts w:ascii="Times New Roman" w:cs="Times New Roman" w:eastAsia="Times New Roman" w:hAnsi="Times New Roman"/>
          <w:sz w:val="18"/>
          <w:szCs w:val="18"/>
          <w:color w:val="auto"/>
        </w:rPr>
        <w:t>While we are already a leader in family safety and location sharing globally, we believe we are significantly underpenetrated across our core markets. For example, in the UK, ANZ, Canada, and Europe, penetration has increased over three times, measured as MAUs divided by population adjusted for smartphone penetration, according to the Pew Research Center, between December 2018 and March 2024. We believe there is potential for these markets to eventually reach parity with the U.S., where current penetration is 1 in 8 smartphone owners. Specifically, as of March 31, 2024, in the UK, ANZ, and Canada, our penetration is 7%, 9%, and 3%, respectively, reflecting 4.2 million, 2.2 million, and 0.9 million MAUs as of March 31, 2024, compared to 13% penetration in the U.S., reflecting approximately 38.8 million MAUs.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While U.S. penetration grew from 6% as of March 31, 2020, to 13% as of March 31, 2024, we believe there is still a significant remaining runway for growth in the U.S. Over the last four years, U.S. penetration increased across all states, and states with penetration above the U.S. average of 6% in 2020 experienced over 115% penetration</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10580"/>
          </w:cols>
          <w:pgMar w:left="320" w:top="121"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607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growth on average from March 31, 2020, to March 31, 2024, underlining that there is still meaningful runway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Strengths</w:t>
      </w:r>
    </w:p>
    <w:p>
      <w:pPr>
        <w:spacing w:after="0" w:line="171" w:lineRule="exact"/>
        <w:rPr>
          <w:sz w:val="20"/>
          <w:szCs w:val="20"/>
          <w:color w:val="auto"/>
        </w:rPr>
      </w:pPr>
    </w:p>
    <w:p>
      <w:pPr>
        <w:jc w:val="both"/>
        <w:ind w:left="1320" w:hanging="322"/>
        <w:spacing w:after="0" w:line="253"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Platform in Family Safety Across All Life Stages: </w:t>
      </w:r>
      <w:r>
        <w:rPr>
          <w:rFonts w:ascii="Times New Roman" w:cs="Times New Roman" w:eastAsia="Times New Roman" w:hAnsi="Times New Roman"/>
          <w:sz w:val="18"/>
          <w:szCs w:val="18"/>
          <w:color w:val="auto"/>
        </w:rPr>
        <w:t>We are a market leader in family safety and location sharing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addressing large, global market opportunities across our offerings. Approximately 66.4 million MAUs on the Life360 Platform worldwide enjoy the peace of mind that comes with the Life360 location sharing and safety features. We believe that our variety of services, including location safety, driving safety, digital safety, and emergency assistance, provide members with a superior experience. Beyond the Life360 app, we also help our members track their pets and the things they care most about, ensuring that families know all the most important aspects of their life are connected and safe. Given the breadth of our platform and services, we have attracted a wide range of members that span all life stages. To understand the segmentation of our member base, we analyze the composition of both our Circles, which includes free and paying members, and Paying Circles so that we can better understand the monetization patterns of different segments. Families with teens, which we define as Circles with at least one member being a parent and one or more teens, between the ages of 13 to 19, are our key audience making up 39% of Circles and 56% of Paying Circles, as of March 31, 2024. Couples, which we define as Circles of two members with a spouse or partner, represent 18% of Circles and 11% of Paying Circles as of March 31, 2024. We believe we have an opportunity to drive member engagement and organic growth in new MAUs across all life stages and expand monetization beyond our core audience.</w:t>
      </w:r>
    </w:p>
    <w:p>
      <w:pPr>
        <w:spacing w:after="0" w:line="131" w:lineRule="exact"/>
        <w:rPr>
          <w:rFonts w:ascii="Times New Roman" w:cs="Times New Roman" w:eastAsia="Times New Roman" w:hAnsi="Times New Roman"/>
          <w:sz w:val="18"/>
          <w:szCs w:val="18"/>
          <w:color w:val="auto"/>
        </w:rPr>
      </w:pPr>
    </w:p>
    <w:p>
      <w:pPr>
        <w:jc w:val="both"/>
        <w:ind w:left="1320" w:hanging="322"/>
        <w:spacing w:after="0" w:line="25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Brand Awareness and Freemium Model Driving Powerful Network Effects: </w:t>
      </w:r>
      <w:r>
        <w:rPr>
          <w:rFonts w:ascii="Times New Roman" w:cs="Times New Roman" w:eastAsia="Times New Roman" w:hAnsi="Times New Roman"/>
          <w:sz w:val="18"/>
          <w:szCs w:val="18"/>
          <w:color w:val="auto"/>
        </w:rPr>
        <w:t>We have built a trusted brand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synonymous with family safety and location sharing, driving strong word-of-mouth virality and organic member growth. We estimate our brand awareness among parents in the U.S. to be 53% in October 2023, with a Net Promoter Score of greater than 50 for adults aged between 31-60 in the U.S. as of April 2024. This is supported by Life360’s position as a top five social networking mobile app by DAUs, with a 4.7 rating on the Apple App Store in the U.S., as of March 2024. Because app store rankings significantly impact a consumer’s decision to download an app, we believe our high app store ranking drives strong organic member acquisition for Life360. We also believe our freemium business model drives significant member scale, allowing us to keep paid marketing spend efficient. Any smartphone user can download and use select Life360 features without payment, and we have a proven ability to convert free members to subscribers over time. On average, for all members that registered from 2017 through March 2024, with respect to free members that converted to subscribers during the first three years, approximately 35% converted in the first 1 month, approximately 28% converted in the next 11 months, and approximately 37% converted in the next 24 months. This demonstrates our consistency in driving subscriber conversion over multiple years well after their initial acquisition. We leverage our deep data insights to upsell free members at select, intentional moments to convert them to subscribers, where they can access new features that increase their willingness to pay and drive higher ARPPC over time. Our strong brand and freemium business model have helped drive efficient member growth of 26% for the year</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S-5</w:t>
      </w:r>
    </w:p>
    <w:p>
      <w:pPr>
        <w:sectPr>
          <w:pgSz w:w="11900" w:h="16838" w:orient="portrait"/>
          <w:cols w:equalWidth="0" w:num="1">
            <w:col w:w="10580"/>
          </w:cols>
          <w:pgMar w:left="320" w:top="12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230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right="20"/>
        <w:spacing w:after="0" w:line="261" w:lineRule="auto"/>
        <w:rPr>
          <w:sz w:val="20"/>
          <w:szCs w:val="20"/>
          <w:color w:val="auto"/>
        </w:rPr>
      </w:pPr>
      <w:r>
        <w:rPr>
          <w:rFonts w:ascii="Times New Roman" w:cs="Times New Roman" w:eastAsia="Times New Roman" w:hAnsi="Times New Roman"/>
          <w:sz w:val="18"/>
          <w:szCs w:val="18"/>
          <w:color w:val="auto"/>
        </w:rPr>
        <w:t>ended December 31, 2023 (including 40% growth outside the U.S.), while sales and marketing expense as a percentage of revenue fell from 40% to 33% year-over-year. Between 2019 and 2023, our Life360 user acquisition cost, defined as the annual user acquisition spend divided by total new member registrations, was less than $1 per new member, driven by our strong word-of-mouth and disciplined approach to marketing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jc w:val="both"/>
        <w:ind w:left="1000" w:hanging="326"/>
        <w:spacing w:after="0" w:line="262" w:lineRule="auto"/>
        <w:tabs>
          <w:tab w:leader="none" w:pos="99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previously calculated Paying Circles by including subscribers who had been billed as well as whose billing status was pending as of the end of the period. As of March 31, 2023, we revised our definition of Paying Circles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As a result, Paying Circles presented prior to 2023 in the table above have been recast to reflect the calculations under the revised metric definition.</w:t>
      </w:r>
    </w:p>
    <w:p>
      <w:pPr>
        <w:spacing w:after="0" w:line="134" w:lineRule="exact"/>
        <w:rPr>
          <w:rFonts w:ascii="Times New Roman" w:cs="Times New Roman" w:eastAsia="Times New Roman" w:hAnsi="Times New Roman"/>
          <w:sz w:val="14"/>
          <w:szCs w:val="14"/>
          <w:color w:val="auto"/>
        </w:rPr>
      </w:pPr>
    </w:p>
    <w:p>
      <w:pPr>
        <w:jc w:val="both"/>
        <w:ind w:left="1320" w:hanging="322"/>
        <w:spacing w:after="0" w:line="252" w:lineRule="auto"/>
        <w:tabs>
          <w:tab w:leader="none" w:pos="131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Highly Engaged Member Base: </w:t>
      </w:r>
      <w:r>
        <w:rPr>
          <w:rFonts w:ascii="Times New Roman" w:cs="Times New Roman" w:eastAsia="Times New Roman" w:hAnsi="Times New Roman"/>
          <w:sz w:val="18"/>
          <w:szCs w:val="18"/>
          <w:color w:val="auto"/>
        </w:rPr>
        <w:t>We believe our member experience is what has enabled the Life360 Platform to become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player in family safety and location sharing. On average, our U.S. MAUs engaged with the Life360 Platform over 5 times per day in March 2024, with approximately 43% of U.S. MAUs using the Life360 Platform daily, and that number increases to approximately 64% of U.S. MAUs when including push notifications. We are focused on continually improving our member engagement, and have been able to do so in both the U.S. and internationally by enhancing the member experience, introducing new services, localizing content for international markets, and implementing infrastructure improvements. Because of this, we increased the percentage of U.S. MAUs opening the Life360 Platform daily by 7 percentage points from 36% in January 2020 to 43% in March 2024. Improvements in our member engagement for international MAUs outpaced that of the U.S., increasing by 11 percentage points from 24% to 35% over the same time period. Our member base is highly entrenched in our platform—as more members join the Life360 Platform, our members are able to gain deeper insights into the activities of their Circles that are not replicable on any other social network. The charts below highlight the increasing size and retention of our MAUs and the conversion to and retention of our Paying Circles that have joined in each period presented. The MAU chart illustrates that our number of MAUs by member registration year has grown significantly over time (with the exception of COVID-related impacts in 2020, which significantly depressed new member registrations during 2020 and we believe is not indicative of our growth), driven by higher registrations and improving member retention, particularly internationally. The Paying Circles chart highlights the growth in our subscriber base as a result of the growth in MAUs and increases in conversion. The long-term conversion pattern of our free members to Paying Circles (as described in “Strong Brand Awareness and Freemium Model Driving Powerful Network Effects”) has</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S-6</w:t>
      </w:r>
    </w:p>
    <w:p>
      <w:pPr>
        <w:sectPr>
          <w:pgSz w:w="11900" w:h="16838" w:orient="portrait"/>
          <w:cols w:equalWidth="0" w:num="1">
            <w:col w:w="10580"/>
          </w:cols>
          <w:pgMar w:left="320" w:top="12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8216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821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20" w:right="20"/>
        <w:spacing w:after="0" w:line="282" w:lineRule="auto"/>
        <w:rPr>
          <w:sz w:val="20"/>
          <w:szCs w:val="20"/>
          <w:color w:val="auto"/>
        </w:rPr>
      </w:pPr>
      <w:r>
        <w:rPr>
          <w:rFonts w:ascii="Times New Roman" w:cs="Times New Roman" w:eastAsia="Times New Roman" w:hAnsi="Times New Roman"/>
          <w:sz w:val="18"/>
          <w:szCs w:val="18"/>
          <w:color w:val="auto"/>
        </w:rPr>
        <w:t>historically supported our net subscriber retention for the Paying Circles by member registration year by helping to offset, at least partially, subscribers that leave the platform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320" w:hanging="322"/>
        <w:spacing w:after="0" w:line="254"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Value Proposition Enabling Expansion of Average Revenue per Paying Circle: </w:t>
      </w:r>
      <w:r>
        <w:rPr>
          <w:rFonts w:ascii="Times New Roman" w:cs="Times New Roman" w:eastAsia="Times New Roman" w:hAnsi="Times New Roman"/>
          <w:sz w:val="18"/>
          <w:szCs w:val="18"/>
          <w:color w:val="auto"/>
        </w:rPr>
        <w:t>We have leveraged our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proposition to members and tiered membership strategy to significantly increase our ARPPC with 16% year-over-year growth for U.S. Paying Circles as of the three months ending March 31, 2024, and 39% year-over-year growth for international Paying Circles in the same period. We have a strong track record of expanding ARPPC over time across both new and existing Paying Circles through a combination of higher pricing from the launch of triple tier memberships and price increases to new and existing Paying Circles. We expect this growth to continue as we benefit from recent triple tier membership launches in Canada, the UK and ANZ, and as members of our Paying Circles upgrade to higher priced tiers with additional features, including upsell opportunities with our hardware offering. We believe our subscriber retention dynamics combined with our ability to expand ARPPC provides visibility into our</w:t>
      </w:r>
    </w:p>
    <w:p>
      <w:pPr>
        <w:sectPr>
          <w:pgSz w:w="11900" w:h="16838" w:orient="portrait"/>
          <w:cols w:equalWidth="0" w:num="1">
            <w:col w:w="10580"/>
          </w:cols>
          <w:pgMar w:left="320" w:top="121" w:right="999" w:bottom="6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S-7</w:t>
      </w:r>
    </w:p>
    <w:p>
      <w:pPr>
        <w:sectPr>
          <w:pgSz w:w="11900" w:h="16838" w:orient="portrait"/>
          <w:cols w:equalWidth="0" w:num="1">
            <w:col w:w="10580"/>
          </w:cols>
          <w:pgMar w:left="320" w:top="121" w:right="999" w:bottom="648"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581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58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spacing w:after="0" w:line="258" w:lineRule="auto"/>
        <w:rPr>
          <w:sz w:val="20"/>
          <w:szCs w:val="20"/>
          <w:color w:val="auto"/>
        </w:rPr>
      </w:pPr>
      <w:r>
        <w:rPr>
          <w:rFonts w:ascii="Times New Roman" w:cs="Times New Roman" w:eastAsia="Times New Roman" w:hAnsi="Times New Roman"/>
          <w:sz w:val="18"/>
          <w:szCs w:val="18"/>
          <w:color w:val="auto"/>
        </w:rPr>
        <w:t>revenue. Net subscriber retention has historically been consistent across member registration years, driving net subscription revenue retention rate that is approximately 100% based on the average monthly subscription revenue for the six months ended December 31, 2023 compared to the prior six-month period. Our ability to continue to demonstrate trends like these is dependent on maintaining and expanding the value proposition of our platform, which supports member and subscriber retention and our ability to increase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jc w:val="both"/>
        <w:ind w:left="1000" w:hanging="326"/>
        <w:spacing w:after="0" w:line="262" w:lineRule="auto"/>
        <w:tabs>
          <w:tab w:leader="none" w:pos="9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previously calculated Paying Circles by including subscribers who had been billed as well as whose billing status was pending as of the end of the period. As of March 31, 2023, we revised our definition of Paying Circles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As a result, ARPPC presented prior to 2023 in the table above have been recast to reflect the calculations under the revised metric definition.</w:t>
      </w:r>
    </w:p>
    <w:p>
      <w:pPr>
        <w:spacing w:after="0" w:line="134" w:lineRule="exact"/>
        <w:rPr>
          <w:rFonts w:ascii="Times New Roman" w:cs="Times New Roman" w:eastAsia="Times New Roman" w:hAnsi="Times New Roman"/>
          <w:sz w:val="14"/>
          <w:szCs w:val="14"/>
          <w:color w:val="auto"/>
        </w:rPr>
      </w:pPr>
    </w:p>
    <w:p>
      <w:pPr>
        <w:jc w:val="both"/>
        <w:ind w:left="1320" w:hanging="322"/>
        <w:spacing w:after="0" w:line="255" w:lineRule="auto"/>
        <w:tabs>
          <w:tab w:leader="none" w:pos="131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our First-Party Data Advantage to Monetize Through Advertising: </w:t>
      </w:r>
      <w:r>
        <w:rPr>
          <w:rFonts w:ascii="Times New Roman" w:cs="Times New Roman" w:eastAsia="Times New Roman" w:hAnsi="Times New Roman"/>
          <w:sz w:val="18"/>
          <w:szCs w:val="18"/>
          <w:color w:val="auto"/>
        </w:rPr>
        <w:t>We introduced advertising to our platform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quarter of 2024, with the goal of providing our advertising partners access to Life360’s global free member base. We believe we are well positioned to monetize our advertising offering, given our deterministic-based targeting due to our extensive first-party location data, our globally recognized brand, and our ability to provide brands a contextually relevant and safe place to engage with families. Our focus is to implement advertising while ensuring that we protect our core experience and our member’s data privacy, and we are encouraged by the success of early testing, which demonstrates a neutral impact on member engagement and customer satisfaction score. We believe advertising presents a strong opportunity to build on the overall member experience and capitalize on our data advantage.</w:t>
      </w:r>
    </w:p>
    <w:p>
      <w:pPr>
        <w:spacing w:after="0" w:line="130" w:lineRule="exact"/>
        <w:rPr>
          <w:rFonts w:ascii="Times New Roman" w:cs="Times New Roman" w:eastAsia="Times New Roman" w:hAnsi="Times New Roman"/>
          <w:sz w:val="18"/>
          <w:szCs w:val="18"/>
          <w:color w:val="auto"/>
        </w:rPr>
      </w:pPr>
    </w:p>
    <w:p>
      <w:pPr>
        <w:jc w:val="both"/>
        <w:ind w:left="1320" w:hanging="322"/>
        <w:spacing w:after="0" w:line="254" w:lineRule="auto"/>
        <w:tabs>
          <w:tab w:leader="none" w:pos="131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Comprehensive Product Suite with Breadth and Depth of Functionality: </w:t>
      </w:r>
      <w:r>
        <w:rPr>
          <w:rFonts w:ascii="Times New Roman" w:cs="Times New Roman" w:eastAsia="Times New Roman" w:hAnsi="Times New Roman"/>
          <w:sz w:val="18"/>
          <w:szCs w:val="18"/>
          <w:color w:val="auto"/>
        </w:rPr>
        <w:t>Since 2016, we have invested over $375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with 35 patents issued or pending underlying the key offerings of our platform (including patents covering battery power conservation; location fixing and tracking; behavioral pattern assessment in the use of a mobile device; member safety; notification management; usage monitoring and access control of applications; generation of notifications in a workout group; generation and sending of prepopulated messages to a selected group of mobile devices). Our technology spans a wide range of services, from emergency assistance to identity theft protection to stolen phone reimbursement, applicable for every member of the family from child to grandparent. We are continually expanding our platform for our members. Our acquisitions of Tile and Jiobit have driven further growth, conversion, and retention by improving the overall member experience and providing access to a unified experience that brings together software and hardware.</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S-8</w:t>
      </w:r>
    </w:p>
    <w:p>
      <w:pPr>
        <w:sectPr>
          <w:pgSz w:w="11900" w:h="16838" w:orient="portrait"/>
          <w:cols w:equalWidth="0" w:num="1">
            <w:col w:w="10580"/>
          </w:cols>
          <w:pgMar w:left="320" w:top="12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093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320" w:hanging="322"/>
        <w:spacing w:after="0" w:line="257"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System- and Device-Agnostic, with OS Neutrality and Interoperability: </w:t>
      </w:r>
      <w:r>
        <w:rPr>
          <w:rFonts w:ascii="Times New Roman" w:cs="Times New Roman" w:eastAsia="Times New Roman" w:hAnsi="Times New Roman"/>
          <w:sz w:val="18"/>
          <w:szCs w:val="18"/>
          <w:color w:val="auto"/>
        </w:rPr>
        <w:t>The Life360 suite of offerings is system- and device-agnostic, offering a cross-platform competitive advantage, especially in Android-heavy locales. Our products and services work seamlessly for families, regardless of the different platforms and devices that each family member may elect to use. This is reflected in the composition of Paying Circles between platforms, with 45% of our total Paying Circles as of March 31, 2024 being cross-platform. This rises to nearly 50% for Paying Circles with more than three members. We believe we will continue to benefit from the increasing proliferation of connected devices across platforms given our platform agnostic approach.</w:t>
      </w:r>
    </w:p>
    <w:p>
      <w:pPr>
        <w:spacing w:after="0" w:line="128" w:lineRule="exact"/>
        <w:rPr>
          <w:rFonts w:ascii="Times New Roman" w:cs="Times New Roman" w:eastAsia="Times New Roman" w:hAnsi="Times New Roman"/>
          <w:sz w:val="18"/>
          <w:szCs w:val="18"/>
          <w:color w:val="auto"/>
        </w:rPr>
      </w:pPr>
    </w:p>
    <w:p>
      <w:pPr>
        <w:jc w:val="both"/>
        <w:ind w:left="1320" w:hanging="322"/>
        <w:spacing w:after="0" w:line="26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Founder-Led, Seasoned Management Team: </w:t>
      </w:r>
      <w:r>
        <w:rPr>
          <w:rFonts w:ascii="Times New Roman" w:cs="Times New Roman" w:eastAsia="Times New Roman" w:hAnsi="Times New Roman"/>
          <w:sz w:val="18"/>
          <w:szCs w:val="18"/>
          <w:color w:val="auto"/>
        </w:rPr>
        <w:t>Our leadership team is composed of highly experienced executives,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proven track record of scaling consumer technology and subscription businesses, led by our co-founder and Chief Executive Officer, Chris Hulls. We are aligned and focused on our opportunity to build the most trusted brand in technology for family safety.</w:t>
      </w:r>
    </w:p>
    <w:p>
      <w:pPr>
        <w:spacing w:after="0" w:line="122" w:lineRule="exact"/>
        <w:rPr>
          <w:rFonts w:ascii="Times New Roman" w:cs="Times New Roman" w:eastAsia="Times New Roman" w:hAnsi="Times New Roman"/>
          <w:sz w:val="18"/>
          <w:szCs w:val="18"/>
          <w:color w:val="auto"/>
        </w:rPr>
      </w:pPr>
    </w:p>
    <w:p>
      <w:pPr>
        <w:jc w:val="both"/>
        <w:ind w:left="1320" w:hanging="322"/>
        <w:spacing w:after="0" w:line="254"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Scalable Business Model Driven by Recurring Revenue: </w:t>
      </w:r>
      <w:r>
        <w:rPr>
          <w:rFonts w:ascii="Times New Roman" w:cs="Times New Roman" w:eastAsia="Times New Roman" w:hAnsi="Times New Roman"/>
          <w:sz w:val="18"/>
          <w:szCs w:val="18"/>
          <w:color w:val="auto"/>
        </w:rPr>
        <w:t>We believe that we have a highly scalable business model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maximizes our revenues and minimizes our costs. The recurring nature of our subscription business coupled with strong member retention provides near-term revenue visibility, while our free member base serves as a highly efficient subscriber acquisition funnel. Our strategy has enabled us to drive continued revenue growth, achieving 33% year-over-year total revenue growth for the year ended December 31, 2023 underpinned by 44% year-over-year growth in subscription revenue (representing 73% of total revenue) in the same period. We believe we have invested in the necessary infrastructure to support our future growth and are beginning to see the benefits of operating leverage as we scale. For the year ended December 31, 2023, operating expenses grew by only 4% year-over-year compared to our larger revenue growth. This has contributed to a significantly reduced net loss of $28.2 million for the year ended December 31, 2023, compared to a net loss of $91.6 million for the year ended December 31, 2022, and a material improvement in Adjusted EBITDA, scaling from a $40.1 million loss for the year ended December 31, 2022 to $20.6 million for the year ended December 31, 2023.</w:t>
      </w:r>
    </w:p>
    <w:p>
      <w:pPr>
        <w:spacing w:after="0" w:line="1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71" w:lineRule="exact"/>
        <w:rPr>
          <w:sz w:val="20"/>
          <w:szCs w:val="20"/>
          <w:color w:val="auto"/>
        </w:rPr>
      </w:pPr>
    </w:p>
    <w:p>
      <w:pPr>
        <w:jc w:val="both"/>
        <w:ind w:left="1320" w:hanging="322"/>
        <w:spacing w:after="0" w:line="253"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Members in New and Existing Markets: </w:t>
      </w:r>
      <w:r>
        <w:rPr>
          <w:rFonts w:ascii="Times New Roman" w:cs="Times New Roman" w:eastAsia="Times New Roman" w:hAnsi="Times New Roman"/>
          <w:sz w:val="18"/>
          <w:szCs w:val="18"/>
          <w:color w:val="auto"/>
        </w:rPr>
        <w:t>We have both a strong foothold in the U.S. and a large and growing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member base. The Life360 app is currently available for download in 171 countries through the Apple App Store and 133 countries through the Google Play Store. Our members are our best acquisition engine, and we believe that word-of-mouth referrals will continue to drive strong new member growth. We plan to drive further market penetration through increased investments in international marketing and brand awareness, member acquisition initiatives, and the provision of new features into these regions. We successfully implemented our tiered offering in Canada in December 2021, followed by the UK in October 2023, and ANZ in April 2024. As of December 31, 2023, international members represented approximately 40% of our total MAUs, but accounted for approximately 12% of total revenue—further highlighting the large-scale opportunity to grow paying subscriptions and advertising in new and existing global markets. Furthermore, we have demonstrated our ability to quickly accelerate ARPPC and revenue growth following the launch of triple tier pricing in new markets, replacing the legacy two tiered subscriber offering. Relative to its pre-launch revenue and ARPPC, Canada demonstrated ARPPC growth of 31%, 49%, and 51% after 6, 12, and 18 months post-launch, respectively. The triple tier membership launch and price increase to existing legacy subscribers in the UK saw 53% ARPPC growth in the first 6 months relative to the pre-launch baseline.</w:t>
      </w:r>
    </w:p>
    <w:p>
      <w:pPr>
        <w:spacing w:after="0" w:line="133" w:lineRule="exact"/>
        <w:rPr>
          <w:rFonts w:ascii="Times New Roman" w:cs="Times New Roman" w:eastAsia="Times New Roman" w:hAnsi="Times New Roman"/>
          <w:sz w:val="18"/>
          <w:szCs w:val="18"/>
          <w:color w:val="auto"/>
        </w:rPr>
      </w:pPr>
    </w:p>
    <w:p>
      <w:pPr>
        <w:jc w:val="both"/>
        <w:ind w:left="1320" w:hanging="322"/>
        <w:spacing w:after="0" w:line="257"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 Conversion from Free Members to Paid Subscriptions: </w:t>
      </w:r>
      <w:r>
        <w:rPr>
          <w:rFonts w:ascii="Times New Roman" w:cs="Times New Roman" w:eastAsia="Times New Roman" w:hAnsi="Times New Roman"/>
          <w:sz w:val="18"/>
          <w:szCs w:val="18"/>
          <w:color w:val="auto"/>
        </w:rPr>
        <w:t>We have built a scaled, global member base of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66.4 million MAUs and believe we are still early in our opportunity to monetize our member base. We believe our value proposition will drive conversion from free to paid as we incorporate additional features that resonate across all life stages. As of March 31, 2024, MAUs in U.S. Paying Circles represented approximately 12% of our approximately 38.8 million U.S. MAUs, providing a strong runway for additional paid conversion. Similarly, MAUs in International Paying Circles represented approximately 5% of our approximately 27.5 million International MAUs. Life360 has a strong track record of Paying</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S-9</w:t>
      </w:r>
    </w:p>
    <w:p>
      <w:pPr>
        <w:sectPr>
          <w:pgSz w:w="11900" w:h="16838" w:orient="portrait"/>
          <w:cols w:equalWidth="0" w:num="1">
            <w:col w:w="10580"/>
          </w:cols>
          <w:pgMar w:left="320" w:top="12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0592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20"/>
        <w:spacing w:after="0" w:line="282" w:lineRule="auto"/>
        <w:rPr>
          <w:sz w:val="20"/>
          <w:szCs w:val="20"/>
          <w:color w:val="auto"/>
        </w:rPr>
      </w:pPr>
      <w:r>
        <w:rPr>
          <w:rFonts w:ascii="Times New Roman" w:cs="Times New Roman" w:eastAsia="Times New Roman" w:hAnsi="Times New Roman"/>
          <w:sz w:val="18"/>
          <w:szCs w:val="18"/>
          <w:color w:val="auto"/>
        </w:rPr>
        <w:t>Circle growth with 1.9 million global Paying Circles as of March 31, 2024, an increase of 21% year-over-year (including 39% year-over-year growth for International Paying Circles).</w:t>
      </w:r>
    </w:p>
    <w:p>
      <w:pPr>
        <w:spacing w:after="0" w:line="104" w:lineRule="exact"/>
        <w:rPr>
          <w:sz w:val="20"/>
          <w:szCs w:val="20"/>
          <w:color w:val="auto"/>
        </w:rPr>
      </w:pPr>
    </w:p>
    <w:p>
      <w:pPr>
        <w:jc w:val="both"/>
        <w:ind w:left="1320" w:hanging="322"/>
        <w:spacing w:after="0" w:line="25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Disciplined Expansion in New Use Cases and New Verticals: </w:t>
      </w:r>
      <w:r>
        <w:rPr>
          <w:rFonts w:ascii="Times New Roman" w:cs="Times New Roman" w:eastAsia="Times New Roman" w:hAnsi="Times New Roman"/>
          <w:sz w:val="18"/>
          <w:szCs w:val="18"/>
          <w:color w:val="auto"/>
        </w:rPr>
        <w:t>Product innovation lies at the heart of our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continue to leverage our core technologies to offer additional services, expand into more life stages of families and enter new verticals, we believe we will strengthen our value proposition to consumers. We leverage the insights we generate from our platform to further enhance our offering. While we primarily monetize members via subscriptions today, we launched advertisements in the first quarter of 2024 and hope to expand into new revenue streams (such as auto insurance, family financial services and elderly monitoring) by leveraging the trust we have with our members and the valuable data our platform generates.</w:t>
      </w:r>
    </w:p>
    <w:p>
      <w:pPr>
        <w:spacing w:after="0" w:line="128" w:lineRule="exact"/>
        <w:rPr>
          <w:rFonts w:ascii="Times New Roman" w:cs="Times New Roman" w:eastAsia="Times New Roman" w:hAnsi="Times New Roman"/>
          <w:sz w:val="18"/>
          <w:szCs w:val="18"/>
          <w:color w:val="auto"/>
        </w:rPr>
      </w:pPr>
    </w:p>
    <w:p>
      <w:pPr>
        <w:jc w:val="both"/>
        <w:ind w:left="1320" w:hanging="322"/>
        <w:spacing w:after="0" w:line="25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Monetization of Free Members via Advertising: </w:t>
      </w:r>
      <w:r>
        <w:rPr>
          <w:rFonts w:ascii="Times New Roman" w:cs="Times New Roman" w:eastAsia="Times New Roman" w:hAnsi="Times New Roman"/>
          <w:sz w:val="18"/>
          <w:szCs w:val="18"/>
          <w:color w:val="auto"/>
        </w:rPr>
        <w:t>We believe advertising is a significant opportunity to monetize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base further, and we have developed a robust strategy to lean into this opportunity. Life360’s initial rollout is focused on pursuing programmatic relationships and paid partnerships while starting to leverage Life360’s unique, first-party data. Over time, we plan to expand our direct sales efforts to grow our advertiser base and pursue off-site advertising opportunities to help specific brands connect with our members organically and safely. Our priority is to implement advertising while ensuring that we enhance and protect our core experience, and we believe that we can achieve that while growing our advertising business significantly.</w:t>
      </w:r>
    </w:p>
    <w:p>
      <w:pPr>
        <w:spacing w:after="0" w:line="128" w:lineRule="exact"/>
        <w:rPr>
          <w:rFonts w:ascii="Times New Roman" w:cs="Times New Roman" w:eastAsia="Times New Roman" w:hAnsi="Times New Roman"/>
          <w:sz w:val="18"/>
          <w:szCs w:val="18"/>
          <w:color w:val="auto"/>
        </w:rPr>
      </w:pPr>
    </w:p>
    <w:p>
      <w:pPr>
        <w:jc w:val="both"/>
        <w:ind w:left="1320" w:hanging="322"/>
        <w:spacing w:after="0" w:line="257"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Assess Strategic Partnerships and Acquisition Opportunities: </w:t>
      </w:r>
      <w:r>
        <w:rPr>
          <w:rFonts w:ascii="Times New Roman" w:cs="Times New Roman" w:eastAsia="Times New Roman" w:hAnsi="Times New Roman"/>
          <w:sz w:val="18"/>
          <w:szCs w:val="18"/>
          <w:color w:val="auto"/>
        </w:rPr>
        <w:t>With our acquisitions of Tile and Jiobit and our potential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and investment in Hubble (which is still in initial stages and is subject to negotiation and execution of definitive documentation), we plan to leverage our platform to continue expanding into new verticals for pets, elderly monitoring, and the things that matter most to families. These acquisitions have been successful in accelerating our platform vision, driving growth, and delivering value. We may selectively pursue partnerships or acquisitions to accelerate our platform opportunity in the future, focusing on areas of differentiation that shore up our scale and competitive advantage.</w:t>
      </w:r>
    </w:p>
    <w:p>
      <w:pPr>
        <w:spacing w:after="0" w:line="1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Except as described in this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We will not receive any of the proceeds from the sale of our securities by selling securityholders. See “Use of Proceeds” in this prospectus supplement.</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ASX under the symbol “360” in the form of CDIs. In addition, we have been approved to list our common stock on the Nasdaq Global Select Market under the symbol “LIF”. Upon listing our common stock on the Nasdaq Global Select Market, we intend to apply to ASX to convert our listing on ASX to an ASX Foreign Exempt Listing.</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jc w:val="both"/>
        <w:ind w:left="680" w:right="20"/>
        <w:spacing w:after="0" w:line="282"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filings with the SEC, the ASX, the investor relations page on our website (www.life360.com), press releases, public conference calls, and public webcasts.</w:t>
      </w:r>
    </w:p>
    <w:p>
      <w:pPr>
        <w:spacing w:after="0" w:line="108"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The information disclosed through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S-10</w:t>
      </w:r>
    </w:p>
    <w:p>
      <w:pPr>
        <w:sectPr>
          <w:pgSz w:w="11900" w:h="16838" w:orient="portrait"/>
          <w:cols w:equalWidth="0" w:num="1">
            <w:col w:w="10580"/>
          </w:cols>
          <w:pgMar w:left="320" w:top="12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2395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39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left="68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2007 under the name of LReady, Inc. and subsequently changed our name to Life360, Inc. Our principal executive offices are located at 1900 South Norfolk Street, Suite 310, San Mateo, California 94403. Our telephone number is</w:t>
      </w:r>
    </w:p>
    <w:p>
      <w:pPr>
        <w:jc w:val="both"/>
        <w:ind w:left="680" w:hanging="6"/>
        <w:spacing w:after="0" w:line="255"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484-5244. Our website address is www.life360.com. Information contained on, or that can be accessed through, our website is not incorporated by reference into this prospectus supplement, and you should not consider information on our website to be part of this prospectus supplement. We have included our website address as an inactive textual reference only.</w:t>
      </w:r>
    </w:p>
    <w:p>
      <w:pPr>
        <w:spacing w:after="0" w:line="132"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The Life360 logo, and other trademarks, trade names or service marks of Life360, Inc. appearing in this prospectus supplement are the property of Life360, Inc. All other trademarks, trade names and service marks appearing in this prospectus supplement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560"/>
          </w:cols>
          <w:pgMar w:left="320" w:top="12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385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38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20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w w:val="97"/>
              </w:rPr>
              <w:t>The Offering</w:t>
            </w:r>
          </w:p>
        </w:tc>
        <w:tc>
          <w:tcPr>
            <w:tcW w:w="0" w:type="dxa"/>
            <w:vAlign w:val="bottom"/>
          </w:tcPr>
          <w:p>
            <w:pPr>
              <w:spacing w:after="0"/>
              <w:rPr>
                <w:sz w:val="1"/>
                <w:szCs w:val="1"/>
                <w:color w:val="auto"/>
              </w:rPr>
            </w:pPr>
          </w:p>
        </w:tc>
      </w:tr>
      <w:tr>
        <w:trPr>
          <w:trHeight w:val="41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3,286,231 shares</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the selling</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securityholders</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2,463,769 shares</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 shares of our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common stock offered by the selling</w:t>
            </w:r>
          </w:p>
        </w:tc>
        <w:tc>
          <w:tcPr>
            <w:tcW w:w="20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862,500 shares</w:t>
            </w:r>
          </w:p>
        </w:tc>
        <w:tc>
          <w:tcPr>
            <w:tcW w:w="0" w:type="dxa"/>
            <w:vAlign w:val="bottom"/>
          </w:tcPr>
          <w:p>
            <w:pPr>
              <w:spacing w:after="0"/>
              <w:rPr>
                <w:sz w:val="1"/>
                <w:szCs w:val="1"/>
                <w:color w:val="auto"/>
              </w:rPr>
            </w:pPr>
          </w:p>
        </w:tc>
      </w:tr>
      <w:tr>
        <w:trPr>
          <w:trHeight w:val="234"/>
        </w:trPr>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securityholders</w:t>
            </w:r>
          </w:p>
        </w:tc>
        <w:tc>
          <w:tcPr>
            <w:tcW w:w="2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Common stock to be outstanding after this offering 73,006,638 shares (including shares underlying all issued and outstanding CDIs).</w:t>
      </w:r>
    </w:p>
    <w:p>
      <w:pPr>
        <w:spacing w:after="0" w:line="77" w:lineRule="exact"/>
        <w:rPr>
          <w:sz w:val="20"/>
          <w:szCs w:val="20"/>
          <w:color w:val="auto"/>
        </w:rPr>
      </w:pPr>
    </w:p>
    <w:p>
      <w:pPr>
        <w:ind w:left="700"/>
        <w:spacing w:after="0"/>
        <w:tabs>
          <w:tab w:leader="none" w:pos="442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estimate that we will receive net proceeds from this offering of approximately</w:t>
      </w:r>
    </w:p>
    <w:p>
      <w:pPr>
        <w:ind w:left="4440"/>
        <w:spacing w:after="0" w:line="205" w:lineRule="auto"/>
        <w:rPr>
          <w:sz w:val="20"/>
          <w:szCs w:val="20"/>
          <w:color w:val="auto"/>
        </w:rPr>
      </w:pPr>
      <w:r>
        <w:rPr>
          <w:rFonts w:ascii="Times New Roman" w:cs="Times New Roman" w:eastAsia="Times New Roman" w:hAnsi="Times New Roman"/>
          <w:sz w:val="18"/>
          <w:szCs w:val="18"/>
          <w:color w:val="auto"/>
        </w:rPr>
        <w:t>$84.4 million (or approximately $82.6 million if the underwriters exercise their</w:t>
      </w:r>
    </w:p>
    <w:p>
      <w:pPr>
        <w:ind w:left="4440"/>
        <w:spacing w:after="0" w:line="204" w:lineRule="auto"/>
        <w:rPr>
          <w:sz w:val="20"/>
          <w:szCs w:val="20"/>
          <w:color w:val="auto"/>
        </w:rPr>
      </w:pPr>
      <w:r>
        <w:rPr>
          <w:rFonts w:ascii="Times New Roman" w:cs="Times New Roman" w:eastAsia="Times New Roman" w:hAnsi="Times New Roman"/>
          <w:sz w:val="18"/>
          <w:szCs w:val="18"/>
          <w:color w:val="auto"/>
        </w:rPr>
        <w:t>option to purchase additional shares of our common stock from the selling</w:t>
      </w:r>
    </w:p>
    <w:p>
      <w:pPr>
        <w:ind w:left="4440"/>
        <w:spacing w:after="0" w:line="219" w:lineRule="auto"/>
        <w:rPr>
          <w:sz w:val="20"/>
          <w:szCs w:val="20"/>
          <w:color w:val="auto"/>
        </w:rPr>
      </w:pPr>
      <w:r>
        <w:rPr>
          <w:rFonts w:ascii="Times New Roman" w:cs="Times New Roman" w:eastAsia="Times New Roman" w:hAnsi="Times New Roman"/>
          <w:sz w:val="18"/>
          <w:szCs w:val="18"/>
          <w:color w:val="auto"/>
        </w:rPr>
        <w:t>securityholders), assuming an initial public offering price of $30.43 per share of our</w:t>
      </w:r>
    </w:p>
    <w:p>
      <w:pPr>
        <w:ind w:left="4440"/>
        <w:spacing w:after="0" w:line="203" w:lineRule="auto"/>
        <w:rPr>
          <w:sz w:val="20"/>
          <w:szCs w:val="20"/>
          <w:color w:val="auto"/>
        </w:rPr>
      </w:pPr>
      <w:r>
        <w:rPr>
          <w:rFonts w:ascii="Times New Roman" w:cs="Times New Roman" w:eastAsia="Times New Roman" w:hAnsi="Times New Roman"/>
          <w:sz w:val="18"/>
          <w:szCs w:val="18"/>
          <w:color w:val="auto"/>
        </w:rPr>
        <w:t>common  stock,  and  after  deducting  the  estimated  underwriting  discount  and</w:t>
      </w:r>
    </w:p>
    <w:p>
      <w:pPr>
        <w:ind w:left="4440"/>
        <w:spacing w:after="0" w:line="204" w:lineRule="auto"/>
        <w:rPr>
          <w:sz w:val="20"/>
          <w:szCs w:val="20"/>
          <w:color w:val="auto"/>
        </w:rPr>
      </w:pPr>
      <w:r>
        <w:rPr>
          <w:rFonts w:ascii="Times New Roman" w:cs="Times New Roman" w:eastAsia="Times New Roman" w:hAnsi="Times New Roman"/>
          <w:sz w:val="18"/>
          <w:szCs w:val="18"/>
          <w:color w:val="auto"/>
        </w:rPr>
        <w:t>estimated  offering  expenses  payable  by  us,  including  the  payment  of  the</w:t>
      </w:r>
    </w:p>
    <w:p>
      <w:pPr>
        <w:ind w:left="4440"/>
        <w:spacing w:after="0" w:line="219" w:lineRule="auto"/>
        <w:rPr>
          <w:sz w:val="20"/>
          <w:szCs w:val="20"/>
          <w:color w:val="auto"/>
        </w:rPr>
      </w:pPr>
      <w:r>
        <w:rPr>
          <w:rFonts w:ascii="Times New Roman" w:cs="Times New Roman" w:eastAsia="Times New Roman" w:hAnsi="Times New Roman"/>
          <w:sz w:val="18"/>
          <w:szCs w:val="18"/>
          <w:color w:val="auto"/>
        </w:rPr>
        <w:t>underwriting discounts and commissions applicable to the sale of shares of common</w:t>
      </w:r>
    </w:p>
    <w:p>
      <w:pPr>
        <w:ind w:left="4440"/>
        <w:spacing w:after="0" w:line="204" w:lineRule="auto"/>
        <w:rPr>
          <w:sz w:val="20"/>
          <w:szCs w:val="20"/>
          <w:color w:val="auto"/>
        </w:rPr>
      </w:pPr>
      <w:r>
        <w:rPr>
          <w:rFonts w:ascii="Times New Roman" w:cs="Times New Roman" w:eastAsia="Times New Roman" w:hAnsi="Times New Roman"/>
          <w:sz w:val="18"/>
          <w:szCs w:val="18"/>
          <w:color w:val="auto"/>
        </w:rPr>
        <w:t>stock by the selling securityholders. We will not receive any proceeds from the sale</w:t>
      </w:r>
    </w:p>
    <w:p>
      <w:pPr>
        <w:ind w:left="4440"/>
        <w:spacing w:after="0" w:line="203" w:lineRule="auto"/>
        <w:rPr>
          <w:sz w:val="20"/>
          <w:szCs w:val="20"/>
          <w:color w:val="auto"/>
        </w:rPr>
      </w:pPr>
      <w:r>
        <w:rPr>
          <w:rFonts w:ascii="Times New Roman" w:cs="Times New Roman" w:eastAsia="Times New Roman" w:hAnsi="Times New Roman"/>
          <w:sz w:val="18"/>
          <w:szCs w:val="18"/>
          <w:color w:val="auto"/>
        </w:rPr>
        <w:t>of shares of our common stock in this offering by the selling securityholders</w:t>
      </w:r>
    </w:p>
    <w:p>
      <w:pPr>
        <w:ind w:left="4440"/>
        <w:spacing w:after="0" w:line="219" w:lineRule="auto"/>
        <w:rPr>
          <w:sz w:val="20"/>
          <w:szCs w:val="20"/>
          <w:color w:val="auto"/>
        </w:rPr>
      </w:pPr>
      <w:r>
        <w:rPr>
          <w:rFonts w:ascii="Times New Roman" w:cs="Times New Roman" w:eastAsia="Times New Roman" w:hAnsi="Times New Roman"/>
          <w:sz w:val="18"/>
          <w:szCs w:val="18"/>
          <w:color w:val="auto"/>
        </w:rPr>
        <w:t>identified in this prospectus supplement, but we have agreed to pay the selling</w:t>
      </w:r>
    </w:p>
    <w:p>
      <w:pPr>
        <w:ind w:left="4440"/>
        <w:spacing w:after="0" w:line="204" w:lineRule="auto"/>
        <w:rPr>
          <w:sz w:val="20"/>
          <w:szCs w:val="20"/>
          <w:color w:val="auto"/>
        </w:rPr>
      </w:pPr>
      <w:r>
        <w:rPr>
          <w:rFonts w:ascii="Times New Roman" w:cs="Times New Roman" w:eastAsia="Times New Roman" w:hAnsi="Times New Roman"/>
          <w:sz w:val="18"/>
          <w:szCs w:val="18"/>
          <w:color w:val="auto"/>
        </w:rPr>
        <w:t>securityholders for certain of their expenses in connection with this offering,</w:t>
      </w:r>
    </w:p>
    <w:p>
      <w:pPr>
        <w:ind w:left="4440"/>
        <w:spacing w:after="0" w:line="203" w:lineRule="auto"/>
        <w:rPr>
          <w:sz w:val="20"/>
          <w:szCs w:val="20"/>
          <w:color w:val="auto"/>
        </w:rPr>
      </w:pPr>
      <w:r>
        <w:rPr>
          <w:rFonts w:ascii="Times New Roman" w:cs="Times New Roman" w:eastAsia="Times New Roman" w:hAnsi="Times New Roman"/>
          <w:sz w:val="18"/>
          <w:szCs w:val="18"/>
          <w:color w:val="auto"/>
        </w:rPr>
        <w:t>including all underwriting discounts and commissions applicable to the sale of</w:t>
      </w:r>
    </w:p>
    <w:p>
      <w:pPr>
        <w:spacing w:after="0" w:line="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shares of common stock by the selling securityholders.</w:t>
      </w:r>
    </w:p>
    <w:p>
      <w:pPr>
        <w:spacing w:after="0" w:line="5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highlight w:val="white"/>
        </w:rPr>
        <w:t>The principal purposes of this offering are to increase our capitalization and</w:t>
      </w:r>
    </w:p>
    <w:p>
      <w:pPr>
        <w:ind w:left="4440"/>
        <w:spacing w:after="0" w:line="205" w:lineRule="auto"/>
        <w:rPr>
          <w:sz w:val="20"/>
          <w:szCs w:val="20"/>
          <w:color w:val="auto"/>
        </w:rPr>
      </w:pPr>
      <w:r>
        <w:rPr>
          <w:rFonts w:ascii="Times New Roman" w:cs="Times New Roman" w:eastAsia="Times New Roman" w:hAnsi="Times New Roman"/>
          <w:sz w:val="18"/>
          <w:szCs w:val="18"/>
          <w:color w:val="auto"/>
          <w:highlight w:val="white"/>
        </w:rPr>
        <w:t>financial flexibility and create a public market for our common stock in the United</w:t>
      </w:r>
    </w:p>
    <w:p>
      <w:pPr>
        <w:ind w:left="4440"/>
        <w:spacing w:after="0" w:line="204" w:lineRule="auto"/>
        <w:rPr>
          <w:sz w:val="20"/>
          <w:szCs w:val="20"/>
          <w:color w:val="auto"/>
        </w:rPr>
      </w:pPr>
      <w:r>
        <w:rPr>
          <w:rFonts w:ascii="Times New Roman" w:cs="Times New Roman" w:eastAsia="Times New Roman" w:hAnsi="Times New Roman"/>
          <w:sz w:val="18"/>
          <w:szCs w:val="18"/>
          <w:color w:val="auto"/>
          <w:highlight w:val="white"/>
        </w:rPr>
        <w:t>States. We currently intend to use the net proceeds we receive from this offering for</w:t>
      </w:r>
    </w:p>
    <w:p>
      <w:pPr>
        <w:ind w:left="4440"/>
        <w:spacing w:after="0" w:line="219" w:lineRule="auto"/>
        <w:rPr>
          <w:sz w:val="20"/>
          <w:szCs w:val="20"/>
          <w:color w:val="auto"/>
        </w:rPr>
      </w:pPr>
      <w:r>
        <w:rPr>
          <w:rFonts w:ascii="Times New Roman" w:cs="Times New Roman" w:eastAsia="Times New Roman" w:hAnsi="Times New Roman"/>
          <w:sz w:val="18"/>
          <w:szCs w:val="18"/>
          <w:color w:val="auto"/>
        </w:rPr>
        <w:t>general corporate purposes, including working capital, operating expenses, and</w:t>
      </w:r>
    </w:p>
    <w:p>
      <w:pPr>
        <w:ind w:left="4440"/>
        <w:spacing w:after="0" w:line="203" w:lineRule="auto"/>
        <w:rPr>
          <w:sz w:val="20"/>
          <w:szCs w:val="20"/>
          <w:color w:val="auto"/>
        </w:rPr>
      </w:pPr>
      <w:r>
        <w:rPr>
          <w:rFonts w:ascii="Times New Roman" w:cs="Times New Roman" w:eastAsia="Times New Roman" w:hAnsi="Times New Roman"/>
          <w:sz w:val="18"/>
          <w:szCs w:val="18"/>
          <w:color w:val="auto"/>
        </w:rPr>
        <w:t>capital expenditures. We may also use a portion of the net proceeds for acquisitions</w:t>
      </w:r>
    </w:p>
    <w:p>
      <w:pPr>
        <w:ind w:left="4440"/>
        <w:spacing w:after="0" w:line="204" w:lineRule="auto"/>
        <w:rPr>
          <w:sz w:val="20"/>
          <w:szCs w:val="20"/>
          <w:color w:val="auto"/>
        </w:rPr>
      </w:pPr>
      <w:r>
        <w:rPr>
          <w:rFonts w:ascii="Times New Roman" w:cs="Times New Roman" w:eastAsia="Times New Roman" w:hAnsi="Times New Roman"/>
          <w:sz w:val="18"/>
          <w:szCs w:val="18"/>
          <w:color w:val="auto"/>
        </w:rPr>
        <w:t>or  strategic  investments  in  complementary  businesses,  products,  services,  or</w:t>
      </w:r>
    </w:p>
    <w:p>
      <w:pPr>
        <w:ind w:left="4440"/>
        <w:spacing w:after="0" w:line="219" w:lineRule="auto"/>
        <w:rPr>
          <w:sz w:val="20"/>
          <w:szCs w:val="20"/>
          <w:color w:val="auto"/>
        </w:rPr>
      </w:pPr>
      <w:r>
        <w:rPr>
          <w:rFonts w:ascii="Times New Roman" w:cs="Times New Roman" w:eastAsia="Times New Roman" w:hAnsi="Times New Roman"/>
          <w:sz w:val="18"/>
          <w:szCs w:val="18"/>
          <w:color w:val="auto"/>
        </w:rPr>
        <w:t>technologies. However, we do not currently have any agreements or commitments to</w:t>
      </w:r>
    </w:p>
    <w:p>
      <w:pPr>
        <w:ind w:left="4440"/>
        <w:spacing w:after="0" w:line="204" w:lineRule="auto"/>
        <w:rPr>
          <w:sz w:val="20"/>
          <w:szCs w:val="20"/>
          <w:color w:val="auto"/>
        </w:rPr>
      </w:pPr>
      <w:r>
        <w:rPr>
          <w:rFonts w:ascii="Times New Roman" w:cs="Times New Roman" w:eastAsia="Times New Roman" w:hAnsi="Times New Roman"/>
          <w:sz w:val="18"/>
          <w:szCs w:val="18"/>
          <w:color w:val="auto"/>
        </w:rPr>
        <w:t>enter into any such acquisitions or investments. We cannot specify with certainty all</w:t>
      </w:r>
    </w:p>
    <w:p>
      <w:pPr>
        <w:ind w:left="4440"/>
        <w:spacing w:after="0" w:line="203" w:lineRule="auto"/>
        <w:rPr>
          <w:sz w:val="20"/>
          <w:szCs w:val="20"/>
          <w:color w:val="auto"/>
        </w:rPr>
      </w:pPr>
      <w:r>
        <w:rPr>
          <w:rFonts w:ascii="Times New Roman" w:cs="Times New Roman" w:eastAsia="Times New Roman" w:hAnsi="Times New Roman"/>
          <w:sz w:val="18"/>
          <w:szCs w:val="18"/>
          <w:color w:val="auto"/>
        </w:rPr>
        <w:t>of the particular uses for the net proceeds to us from this offering. We will have</w:t>
      </w:r>
    </w:p>
    <w:p>
      <w:pPr>
        <w:ind w:left="4440"/>
        <w:spacing w:after="0" w:line="219" w:lineRule="auto"/>
        <w:rPr>
          <w:sz w:val="20"/>
          <w:szCs w:val="20"/>
          <w:color w:val="auto"/>
        </w:rPr>
      </w:pPr>
      <w:r>
        <w:rPr>
          <w:rFonts w:ascii="Times New Roman" w:cs="Times New Roman" w:eastAsia="Times New Roman" w:hAnsi="Times New Roman"/>
          <w:sz w:val="18"/>
          <w:szCs w:val="18"/>
          <w:color w:val="auto"/>
        </w:rPr>
        <w:t>broad discretion over how to use the net proceeds to us from this offering. We intend</w:t>
      </w:r>
    </w:p>
    <w:p>
      <w:pPr>
        <w:ind w:left="4440"/>
        <w:spacing w:after="0" w:line="204" w:lineRule="auto"/>
        <w:rPr>
          <w:sz w:val="20"/>
          <w:szCs w:val="20"/>
          <w:color w:val="auto"/>
        </w:rPr>
      </w:pPr>
      <w:r>
        <w:rPr>
          <w:rFonts w:ascii="Times New Roman" w:cs="Times New Roman" w:eastAsia="Times New Roman" w:hAnsi="Times New Roman"/>
          <w:sz w:val="18"/>
          <w:szCs w:val="18"/>
          <w:color w:val="auto"/>
          <w:highlight w:val="white"/>
        </w:rPr>
        <w:t>to invest the net proceeds to us from the offering that are not used as described</w:t>
      </w:r>
    </w:p>
    <w:p>
      <w:pPr>
        <w:ind w:left="4440"/>
        <w:spacing w:after="0" w:line="203" w:lineRule="auto"/>
        <w:rPr>
          <w:sz w:val="20"/>
          <w:szCs w:val="20"/>
          <w:color w:val="auto"/>
        </w:rPr>
      </w:pPr>
      <w:r>
        <w:rPr>
          <w:rFonts w:ascii="Times New Roman" w:cs="Times New Roman" w:eastAsia="Times New Roman" w:hAnsi="Times New Roman"/>
          <w:sz w:val="18"/>
          <w:szCs w:val="18"/>
          <w:color w:val="auto"/>
          <w:highlight w:val="white"/>
        </w:rPr>
        <w:t>above in investment-grade, interest-bearing instruments. See the section titled “Use</w:t>
      </w:r>
    </w:p>
    <w:p>
      <w:pPr>
        <w:spacing w:after="0" w:line="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highlight w:val="white"/>
        </w:rPr>
        <w:t>of Proceeds” for additional information.</w:t>
      </w:r>
    </w:p>
    <w:p>
      <w:pPr>
        <w:spacing w:after="0" w:line="57" w:lineRule="exact"/>
        <w:rPr>
          <w:sz w:val="20"/>
          <w:szCs w:val="20"/>
          <w:color w:val="auto"/>
        </w:rPr>
      </w:pPr>
    </w:p>
    <w:p>
      <w:pPr>
        <w:ind w:left="700"/>
        <w:spacing w:after="0"/>
        <w:tabs>
          <w:tab w:leader="none" w:pos="442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 the section titled “Risk Factors” and the other information included elsewhere in</w:t>
      </w:r>
    </w:p>
    <w:p>
      <w:pPr>
        <w:spacing w:after="0" w:line="2" w:lineRule="exact"/>
        <w:rPr>
          <w:sz w:val="20"/>
          <w:szCs w:val="20"/>
          <w:color w:val="auto"/>
        </w:rPr>
      </w:pPr>
    </w:p>
    <w:p>
      <w:pPr>
        <w:ind w:left="4440" w:right="40"/>
        <w:spacing w:after="0" w:line="226" w:lineRule="auto"/>
        <w:rPr>
          <w:sz w:val="20"/>
          <w:szCs w:val="20"/>
          <w:color w:val="auto"/>
        </w:rPr>
      </w:pPr>
      <w:r>
        <w:rPr>
          <w:rFonts w:ascii="Times New Roman" w:cs="Times New Roman" w:eastAsia="Times New Roman" w:hAnsi="Times New Roman"/>
          <w:sz w:val="18"/>
          <w:szCs w:val="18"/>
          <w:color w:val="auto"/>
        </w:rPr>
        <w:t>this prospectus supplement for a discussion of factors you should carefully consider before deciding to invest in our common stock.</w:t>
      </w:r>
    </w:p>
    <w:p>
      <w:pPr>
        <w:spacing w:after="0" w:line="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Proposed Nasdaq Global Select Market trading</w:t>
      </w:r>
    </w:p>
    <w:p>
      <w:pPr>
        <w:spacing w:after="0" w:line="2" w:lineRule="exact"/>
        <w:rPr>
          <w:sz w:val="20"/>
          <w:szCs w:val="20"/>
          <w:color w:val="auto"/>
        </w:rPr>
      </w:pPr>
    </w:p>
    <w:p>
      <w:pPr>
        <w:ind w:left="860"/>
        <w:spacing w:after="0"/>
        <w:tabs>
          <w:tab w:leader="none" w:pos="4420" w:val="left"/>
        </w:tabs>
        <w:rPr>
          <w:sz w:val="20"/>
          <w:szCs w:val="20"/>
          <w:color w:val="auto"/>
        </w:rPr>
      </w:pPr>
      <w:r>
        <w:rPr>
          <w:rFonts w:ascii="Times New Roman" w:cs="Times New Roman" w:eastAsia="Times New Roman" w:hAnsi="Times New Roman"/>
          <w:sz w:val="18"/>
          <w:szCs w:val="18"/>
          <w:color w:val="auto"/>
        </w:rPr>
        <w:t>symbol</w:t>
      </w:r>
      <w:r>
        <w:rPr>
          <w:sz w:val="20"/>
          <w:szCs w:val="20"/>
          <w:color w:val="auto"/>
        </w:rPr>
        <w:tab/>
      </w:r>
      <w:r>
        <w:rPr>
          <w:rFonts w:ascii="Times New Roman" w:cs="Times New Roman" w:eastAsia="Times New Roman" w:hAnsi="Times New Roman"/>
          <w:sz w:val="18"/>
          <w:szCs w:val="18"/>
          <w:color w:val="auto"/>
        </w:rPr>
        <w:t>“LIF”</w:t>
      </w:r>
    </w:p>
    <w:p>
      <w:pPr>
        <w:spacing w:after="0" w:line="246" w:lineRule="exact"/>
        <w:rPr>
          <w:sz w:val="20"/>
          <w:szCs w:val="20"/>
          <w:color w:val="auto"/>
        </w:rPr>
      </w:pPr>
    </w:p>
    <w:p>
      <w:pPr>
        <w:ind w:left="68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 69,720,407 shares (including shares underlying all issued and outstanding CDIs) of our common stock outstanding as of March 31, 2024 and excludes:</w:t>
      </w:r>
    </w:p>
    <w:p>
      <w:pPr>
        <w:spacing w:after="0" w:line="108" w:lineRule="exact"/>
        <w:rPr>
          <w:sz w:val="20"/>
          <w:szCs w:val="20"/>
          <w:color w:val="auto"/>
        </w:rPr>
      </w:pPr>
    </w:p>
    <w:p>
      <w:pPr>
        <w:jc w:val="both"/>
        <w:ind w:left="1320" w:right="20" w:hanging="322"/>
        <w:spacing w:after="0" w:line="258"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6,186,944 shares of our common stock issuable upon the exercise of options to purchase shares of our common stock outstanding as of March 31, 2024, with a weighted-average exercise price of $6.26 per share (including 89,502 shares of our common stock that were issued upon the exercise of options to purchase shares of our common stock between March 31, 2024 and May 21, 2024 and excluding options that are assumed to be exercised prior to the closing of this offering discussed in detail below);</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S-12</w:t>
      </w:r>
    </w:p>
    <w:p>
      <w:pPr>
        <w:sectPr>
          <w:pgSz w:w="11900" w:h="16838" w:orient="portrait"/>
          <w:cols w:equalWidth="0" w:num="1">
            <w:col w:w="10580"/>
          </w:cols>
          <w:pgMar w:left="320" w:top="121"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5516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551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20" w:hanging="322"/>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5,408,458 shares of our common stock issuable upon settlement of RSUs outstanding as of March 31, 2024;</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933,356 shares of our common stock issuable upon settlement of RSUs that were granted after March 31, 2024;</w:t>
      </w:r>
    </w:p>
    <w:p>
      <w:pPr>
        <w:spacing w:after="0" w:line="171" w:lineRule="exact"/>
        <w:rPr>
          <w:rFonts w:ascii="Times New Roman" w:cs="Times New Roman" w:eastAsia="Times New Roman" w:hAnsi="Times New Roman"/>
          <w:sz w:val="18"/>
          <w:szCs w:val="18"/>
          <w:color w:val="auto"/>
        </w:rPr>
      </w:pPr>
    </w:p>
    <w:p>
      <w:pPr>
        <w:jc w:val="both"/>
        <w:ind w:left="1320" w:right="20" w:hanging="322"/>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7,761 shares of our common stock issuable upon the exercise of warrants outstanding as of March 31, 2024, with an exercise price of $6.44 per share (which expire on September 4, 2025) (excluding warrants that are assumed to be exercised prior to the closing of this offering discussed in detail below);</w:t>
      </w:r>
    </w:p>
    <w:p>
      <w:pPr>
        <w:spacing w:after="0" w:line="121" w:lineRule="exact"/>
        <w:rPr>
          <w:rFonts w:ascii="Times New Roman" w:cs="Times New Roman" w:eastAsia="Times New Roman" w:hAnsi="Times New Roman"/>
          <w:sz w:val="18"/>
          <w:szCs w:val="18"/>
          <w:color w:val="auto"/>
        </w:rPr>
      </w:pPr>
    </w:p>
    <w:p>
      <w:pPr>
        <w:jc w:val="both"/>
        <w:ind w:left="1320" w:hanging="322"/>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88,212 shares of our common stock issuable upon the exercise of warrants outstanding as of March 31, 2024, with an exercise price of $11.96 per share (which expire on July 1, 2026) (excluding warrants that are assumed to be exercised prior to the closing of this offering discussed in detail below);</w:t>
      </w:r>
    </w:p>
    <w:p>
      <w:pPr>
        <w:spacing w:after="0" w:line="121" w:lineRule="exact"/>
        <w:rPr>
          <w:rFonts w:ascii="Times New Roman" w:cs="Times New Roman" w:eastAsia="Times New Roman" w:hAnsi="Times New Roman"/>
          <w:sz w:val="18"/>
          <w:szCs w:val="18"/>
          <w:color w:val="auto"/>
        </w:rPr>
      </w:pPr>
    </w:p>
    <w:p>
      <w:pPr>
        <w:jc w:val="both"/>
        <w:ind w:left="1320" w:hanging="322"/>
        <w:spacing w:after="0" w:line="261"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325,981 shares of our common stock issuable upon the conversion of outstanding convertible notes as of March 31, 2024 (including 157,685 shares of our common stock that were issued upon the conversion of the September 2021 Convertible Notes (as defined below) in April 2024 and excluding notes that are assumed to be converted prior to the closing of this offering discussed in detail below); and</w:t>
      </w:r>
    </w:p>
    <w:p>
      <w:pPr>
        <w:spacing w:after="0" w:line="125" w:lineRule="exact"/>
        <w:rPr>
          <w:rFonts w:ascii="Times New Roman" w:cs="Times New Roman" w:eastAsia="Times New Roman" w:hAnsi="Times New Roman"/>
          <w:sz w:val="18"/>
          <w:szCs w:val="18"/>
          <w:color w:val="auto"/>
        </w:rPr>
      </w:pPr>
    </w:p>
    <w:p>
      <w:pPr>
        <w:ind w:left="1320" w:hanging="322"/>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13,816,316 shares of our common stock reserved for future issuance under our 2011 Equity Incentive Plan as of March 31, 2024.</w:t>
      </w:r>
    </w:p>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addition, except as otherwise indicated, all information in this prospectus supplement assumes:</w:t>
      </w:r>
    </w:p>
    <w:p>
      <w:pPr>
        <w:spacing w:after="0" w:line="171" w:lineRule="exact"/>
        <w:rPr>
          <w:sz w:val="20"/>
          <w:szCs w:val="20"/>
          <w:color w:val="auto"/>
        </w:rPr>
      </w:pPr>
    </w:p>
    <w:p>
      <w:pPr>
        <w:ind w:left="1320" w:right="20" w:hanging="322"/>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or settlement, as applicable, of the outstanding stock options, RSUs or warrants described in this prospectus supplement;</w:t>
      </w:r>
    </w:p>
    <w:p>
      <w:pPr>
        <w:spacing w:after="0" w:line="107"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common stock from the selling securityholders in this offering;</w:t>
      </w:r>
    </w:p>
    <w:p>
      <w:pPr>
        <w:spacing w:after="0" w:line="107"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exercise of warrants to purchase shares of our common stock outstanding as of March 31, 2024, which will result in the issuance of 88,212 shares of common stock in connection with this offering;</w:t>
      </w:r>
    </w:p>
    <w:p>
      <w:pPr>
        <w:spacing w:after="0" w:line="107"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exercise of options to purchase shares of our common stock outstanding as of March 31, 2024, which will result in the issuance of 7,941 shares of common stock in connection with this offering; and</w:t>
      </w:r>
    </w:p>
    <w:p>
      <w:pPr>
        <w:spacing w:after="0" w:line="107"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184,192 shares of our common stock issuable upon the conversion of outstanding convertible notes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580"/>
          </w:cols>
          <w:pgMar w:left="320" w:top="12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5215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521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SUMMARY SELECTED CONDENSED CONSOLIDATED FINANCIAL AND OTHER DATA</w:t>
      </w:r>
    </w:p>
    <w:p>
      <w:pPr>
        <w:spacing w:after="0" w:line="173" w:lineRule="exact"/>
        <w:rPr>
          <w:sz w:val="20"/>
          <w:szCs w:val="20"/>
          <w:color w:val="auto"/>
        </w:rPr>
      </w:pPr>
    </w:p>
    <w:p>
      <w:pPr>
        <w:jc w:val="both"/>
        <w:ind w:left="68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tables summarize our selected condensed consolidated financial and other data. We derived the summary selected unaudited condensed consolidated statements of operations data for the three months ended March 31, 2024 and 2023 and the summary selected unaudited condensed consolidated balance sheet data as of March 31, 2024 from our unaudited condensed consolidated financial statements included in our Quarterly Report on Form 10-Q filed with the SEC on May 9, 2024 (“Quarterly Report”). We derived the summary selected consolidated statements of operations data for the fiscal years ended December 31, 2023 and 2022 and the summary selected consolidated balance sheet data as of December 31, 2023 from our audited consolidated financial statements included in our Annual Report on Form 10-K filed with the SEC on February 29, 2024 (“Annual Report”). When you read this summary of consolidated financial and other data, it is important that you read it together with the historical consolidated financial statements and the related notes included in our Annual Report and Quarterly Report, as well as the sections titled “Management’s Discussion and Analysis of Financial Condition and Results of Operations” in each of our Annual Report and Quarterly Report. Our historical results are not necessarily indicative of the results to be expected for any future period, and our interim results are not necessarily indicative of results to be expected for the full year or any other period.</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Select Financial and Other Results</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13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QoQ</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YoY</w:t>
            </w:r>
          </w:p>
        </w:tc>
        <w:tc>
          <w:tcPr>
            <w:tcW w:w="0" w:type="dxa"/>
            <w:vAlign w:val="bottom"/>
          </w:tcPr>
          <w:p>
            <w:pPr>
              <w:spacing w:after="0"/>
              <w:rPr>
                <w:sz w:val="1"/>
                <w:szCs w:val="1"/>
                <w:color w:val="auto"/>
              </w:rPr>
            </w:pPr>
          </w:p>
        </w:tc>
      </w:tr>
      <w:tr>
        <w:trPr>
          <w:trHeight w:val="195"/>
        </w:trPr>
        <w:tc>
          <w:tcPr>
            <w:tcW w:w="3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49,830</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4"/>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hanging="326"/>
        <w:spacing w:after="0" w:line="283" w:lineRule="auto"/>
        <w:tabs>
          <w:tab w:leader="none" w:pos="99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metric. See “Summary Selected Condensed Consolidated Financial and Other Data—Non-GAAP Financial Information” for a reconciliation of Adjusted EBITDA to the nearest comparable GAAP metric,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580"/>
          </w:cols>
          <w:pgMar w:left="320" w:top="12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581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58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percentages, ARPPC, ARPPS, and ASP)</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13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QoQ</w:t>
            </w:r>
          </w:p>
        </w:tc>
        <w:tc>
          <w:tcPr>
            <w:tcW w:w="12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YoY</w:t>
            </w:r>
          </w:p>
        </w:tc>
        <w:tc>
          <w:tcPr>
            <w:tcW w:w="0" w:type="dxa"/>
            <w:vAlign w:val="bottom"/>
          </w:tcPr>
          <w:p>
            <w:pPr>
              <w:spacing w:after="0"/>
              <w:rPr>
                <w:sz w:val="1"/>
                <w:szCs w:val="1"/>
                <w:color w:val="auto"/>
              </w:rPr>
            </w:pPr>
          </w:p>
        </w:tc>
      </w:tr>
      <w:tr>
        <w:trPr>
          <w:trHeight w:val="195"/>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20" w:type="dxa"/>
            <w:vAlign w:val="bottom"/>
            <w:tcBorders>
              <w:top w:val="single" w:sz="8" w:color="CCEEFF"/>
            </w:tcBorders>
            <w:shd w:val="clear" w:color="auto" w:fill="CCEEFF"/>
          </w:tcPr>
          <w:p>
            <w:pPr>
              <w:ind w:left="40"/>
              <w:spacing w:after="0" w:line="214" w:lineRule="exact"/>
              <w:rPr>
                <w:sz w:val="20"/>
                <w:szCs w:val="20"/>
                <w:color w:val="auto"/>
              </w:rPr>
            </w:pPr>
            <w:r>
              <w:rPr>
                <w:rFonts w:ascii="Times New Roman" w:cs="Times New Roman" w:eastAsia="Times New Roman" w:hAnsi="Times New Roman"/>
                <w:sz w:val="18"/>
                <w:szCs w:val="18"/>
                <w:b w:val="1"/>
                <w:bCs w:val="1"/>
                <w:color w:val="auto"/>
              </w:rPr>
              <w:t>Life360 Core</w:t>
            </w:r>
            <w:r>
              <w:rPr>
                <w:rFonts w:ascii="Times New Roman" w:cs="Times New Roman" w:eastAsia="Times New Roman" w:hAnsi="Times New Roman"/>
                <w:sz w:val="23"/>
                <w:szCs w:val="23"/>
                <w:b w:val="1"/>
                <w:bCs w:val="1"/>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Monthly Active Users (MAUs) - Global</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Paying Circles - Total</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Revenue per Paying Circle (ARPPC)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b w:val="1"/>
                <w:bCs w:val="1"/>
                <w:color w:val="auto"/>
              </w:rPr>
              <w:t>Life360 Consolidated</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184"/>
        </w:trPr>
        <w:tc>
          <w:tcPr>
            <w:tcW w:w="36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Average Revenue per Paying Subscription</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Selling Price (ASP)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Annualized Monthly Revenue (AMR)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right="20" w:hanging="326"/>
        <w:spacing w:after="0" w:line="254" w:lineRule="auto"/>
        <w:tabs>
          <w:tab w:leader="none" w:pos="9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performance indicators are presented in millions, except ARPPC, ARPPS, and ASP, however percentage changes are calculated based on actual results. As a result, percentage changes may not recalculate based on figures presented due to rounding.</w:t>
      </w:r>
    </w:p>
    <w:p>
      <w:pPr>
        <w:jc w:val="both"/>
        <w:ind w:left="1000" w:hanging="326"/>
        <w:spacing w:after="0" w:line="267" w:lineRule="auto"/>
        <w:tabs>
          <w:tab w:leader="none" w:pos="9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March 31, 2024, we refined our calculation of MAUs to exclude certain members who have a delayed account setup. If applied to our results for the quarter ended March 31, 2024, such refinement would have resulted in an immaterial reduction in our total global MAUs and our overall penetration metrics. Because the application of the refined definition was immaterial to all previous periods reported, we have not applied such refinement retroactively and we intend to update our MAUs based on our refined methodology for future reporting periods with the SEC beginning with our results for the second quarter ending June 30, 2024.</w:t>
      </w:r>
    </w:p>
    <w:p>
      <w:pPr>
        <w:spacing w:after="0" w:line="1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2024 Financial Highlights</w:t>
      </w:r>
    </w:p>
    <w:p>
      <w:pPr>
        <w:spacing w:after="0" w:line="175" w:lineRule="exact"/>
        <w:rPr>
          <w:sz w:val="20"/>
          <w:szCs w:val="20"/>
          <w:color w:val="auto"/>
        </w:rPr>
      </w:pPr>
    </w:p>
    <w:p>
      <w:pPr>
        <w:jc w:val="both"/>
        <w:ind w:left="680"/>
        <w:spacing w:after="0" w:line="254" w:lineRule="auto"/>
        <w:rPr>
          <w:sz w:val="20"/>
          <w:szCs w:val="20"/>
          <w:color w:val="auto"/>
        </w:rPr>
      </w:pPr>
      <w:r>
        <w:rPr>
          <w:rFonts w:ascii="Times New Roman" w:cs="Times New Roman" w:eastAsia="Times New Roman" w:hAnsi="Times New Roman"/>
          <w:sz w:val="18"/>
          <w:szCs w:val="18"/>
          <w:color w:val="auto"/>
        </w:rPr>
        <w:t>We had revenue of $78.2 million in the quarter ended March 31, 2024, an increase of 15% from our $68.1 million of revenue in the quarter ended March 31, 2023. Our net loss for the quarter ended March 31, 2024 was $9.8 million, a $4.3 million reduction from our $14.1 million net loss in the quarter ended March 31,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Adjusted EBITDA was $4.3 million in the quarter ended March 31, 2024, an increase of $3.8 million compared to Adjusted EBITDA of $0.5 million for the quarter ended March 31, 2023. Our cash flow from operations was $10.7 million for the quarter ended March 31, 2024, an improvement of $19.9 million compared to $(9.2) million in the quarter ended March 31, 2023. We had $74.6 million of cash, cash equivalents and restricted cash as of March 31, 2024. Total commissions were $11.8 million and $10.3 million and represented 19.2% and 19.9% of total subscription revenue for the three months ended March 31, 2024 and 2023, respectively.</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2024 Operating Highlights</w:t>
      </w:r>
    </w:p>
    <w:p>
      <w:pPr>
        <w:spacing w:after="0" w:line="17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MAUs grew approximately 4.9 million, or 8%, to 66.4 million for the quarter ended March 31, 2024. We had net Paying Circle additions of 96,000. Global Paying Circles grew to 1.9 million, a 21% increase over the prior year, supported by improved conversion and retention.</w:t>
      </w:r>
    </w:p>
    <w:p>
      <w:pPr>
        <w:spacing w:after="0" w:line="122" w:lineRule="exact"/>
        <w:rPr>
          <w:sz w:val="20"/>
          <w:szCs w:val="20"/>
          <w:color w:val="auto"/>
        </w:rPr>
      </w:pPr>
    </w:p>
    <w:p>
      <w:pPr>
        <w:jc w:val="both"/>
        <w:ind w:left="680" w:right="20"/>
        <w:spacing w:after="0" w:line="282" w:lineRule="auto"/>
        <w:rPr>
          <w:sz w:val="20"/>
          <w:szCs w:val="20"/>
          <w:color w:val="auto"/>
        </w:rPr>
      </w:pPr>
      <w:r>
        <w:rPr>
          <w:rFonts w:ascii="Times New Roman" w:cs="Times New Roman" w:eastAsia="Times New Roman" w:hAnsi="Times New Roman"/>
          <w:sz w:val="18"/>
          <w:szCs w:val="18"/>
          <w:color w:val="auto"/>
        </w:rPr>
        <w:t>Along with the UK Triple Tier Membership launch in October 2023, we included a price increase for existing UK subscribers in January 2024. The ANZ Triple Tier launched in late April 2024, following a price increase for existing ANZ subscribers.</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S-15</w:t>
      </w:r>
    </w:p>
    <w:p>
      <w:pPr>
        <w:sectPr>
          <w:pgSz w:w="11900" w:h="16838" w:orient="portrait"/>
          <w:cols w:equalWidth="0" w:num="1">
            <w:col w:w="10580"/>
          </w:cols>
          <w:pgMar w:left="320" w:top="12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402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Select Financial and Other Results for the Years Ended December 31, 2023 and 2022</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9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 YoY</w:t>
            </w:r>
          </w:p>
        </w:tc>
        <w:tc>
          <w:tcPr>
            <w:tcW w:w="0" w:type="dxa"/>
            <w:vAlign w:val="bottom"/>
          </w:tcPr>
          <w:p>
            <w:pPr>
              <w:spacing w:after="0"/>
              <w:rPr>
                <w:sz w:val="1"/>
                <w:szCs w:val="1"/>
                <w:color w:val="auto"/>
              </w:rPr>
            </w:pPr>
          </w:p>
        </w:tc>
      </w:tr>
      <w:tr>
        <w:trPr>
          <w:trHeight w:val="190"/>
        </w:trPr>
        <w:tc>
          <w:tcPr>
            <w:tcW w:w="5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228,305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54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4"/>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70,713</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90,365</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hanging="326"/>
        <w:spacing w:after="0" w:line="283" w:lineRule="auto"/>
        <w:tabs>
          <w:tab w:leader="none" w:pos="99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metric. See “Summary Selected Condensed Consolidated Financial and Other Data—Non-GAAP Financial Information” for a reconciliation of Adjusted EBITDA to the nearest comparable GAAP metric, net loss.</w:t>
      </w:r>
    </w:p>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Key Performance Indicators for the Years Ended December 31, 2023 and 2022</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7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w:t>
            </w:r>
          </w:p>
        </w:tc>
        <w:tc>
          <w:tcPr>
            <w:tcW w:w="1420" w:type="dxa"/>
            <w:vAlign w:val="bottom"/>
          </w:tcPr>
          <w:p>
            <w:pPr>
              <w:spacing w:after="0"/>
              <w:rPr>
                <w:sz w:val="13"/>
                <w:szCs w:val="13"/>
                <w:color w:val="auto"/>
              </w:rPr>
            </w:pPr>
          </w:p>
        </w:tc>
      </w:tr>
      <w:tr>
        <w:trPr>
          <w:trHeight w:val="194"/>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31,</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5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percentages, ARPPC, ARPPS, and ASP)</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 YoY</w:t>
            </w:r>
          </w:p>
        </w:tc>
      </w:tr>
      <w:tr>
        <w:trPr>
          <w:trHeight w:val="216"/>
        </w:trPr>
        <w:tc>
          <w:tcPr>
            <w:tcW w:w="5740" w:type="dxa"/>
            <w:vAlign w:val="bottom"/>
            <w:shd w:val="clear" w:color="auto" w:fill="CCEEFF"/>
          </w:tcPr>
          <w:p>
            <w:pPr>
              <w:ind w:left="40"/>
              <w:spacing w:after="0" w:line="215" w:lineRule="exact"/>
              <w:rPr>
                <w:sz w:val="20"/>
                <w:szCs w:val="20"/>
                <w:color w:val="auto"/>
              </w:rPr>
            </w:pPr>
            <w:r>
              <w:rPr>
                <w:rFonts w:ascii="Times New Roman" w:cs="Times New Roman" w:eastAsia="Times New Roman" w:hAnsi="Times New Roman"/>
                <w:sz w:val="18"/>
                <w:szCs w:val="18"/>
                <w:b w:val="1"/>
                <w:bCs w:val="1"/>
                <w:color w:val="auto"/>
              </w:rPr>
              <w:t>Life360 Core</w:t>
            </w:r>
            <w:r>
              <w:rPr>
                <w:rFonts w:ascii="Times New Roman" w:cs="Times New Roman" w:eastAsia="Times New Roman" w:hAnsi="Times New Roman"/>
                <w:sz w:val="23"/>
                <w:szCs w:val="23"/>
                <w:b w:val="1"/>
                <w:bCs w:val="1"/>
                <w:color w:val="auto"/>
                <w:vertAlign w:val="superscript"/>
              </w:rPr>
              <w:t>(1)</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Monthly Active Users (MAUs) - Global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Paying Circles - Total</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Revenue per Paying Circle (ARPPC)</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5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30"/>
        </w:trPr>
        <w:tc>
          <w:tcPr>
            <w:tcW w:w="57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b w:val="1"/>
                <w:bCs w:val="1"/>
                <w:color w:val="auto"/>
              </w:rPr>
              <w:t>Life360 Consolidated (Adjusted for 2022)</w:t>
            </w:r>
            <w:r>
              <w:rPr>
                <w:rFonts w:ascii="Times New Roman" w:cs="Times New Roman" w:eastAsia="Times New Roman" w:hAnsi="Times New Roman"/>
                <w:sz w:val="23"/>
                <w:szCs w:val="23"/>
                <w:b w:val="1"/>
                <w:bCs w:val="1"/>
                <w:color w:val="auto"/>
                <w:vertAlign w:val="superscript"/>
              </w:rPr>
              <w:t>(1)(2)(3)</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Revenue per Paying Subscription (ARPPS)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Selling Price (ASP)</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Annualized Monthly Revenue (AMR)</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right="20" w:hanging="326"/>
        <w:spacing w:after="0" w:line="254" w:lineRule="auto"/>
        <w:tabs>
          <w:tab w:leader="none" w:pos="9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performance indicators are presented in millions, except ARPPC, ARPPS, and ASP, however percentage changes are calculated based on actual results. As a result, percentage changes may not recalculate based on figures presented due to rounding.</w:t>
      </w:r>
    </w:p>
    <w:p>
      <w:pPr>
        <w:jc w:val="both"/>
        <w:ind w:left="1000" w:hanging="326"/>
        <w:spacing w:after="0" w:line="257" w:lineRule="auto"/>
        <w:tabs>
          <w:tab w:leader="none" w:pos="9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Metrics presented as of and for the periods ended December 31, 2022 have been recast to reflect the calculations under a revised metric definition. We previously calculated Subscriptions and Paying Circles by including subscribers who had been billed as well as whose billing status was pending as of the end of the period. We have since revised our definition of these metrics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w:t>
      </w:r>
    </w:p>
    <w:p>
      <w:pPr>
        <w:spacing w:after="0" w:line="2" w:lineRule="exact"/>
        <w:rPr>
          <w:rFonts w:ascii="Times New Roman" w:cs="Times New Roman" w:eastAsia="Times New Roman" w:hAnsi="Times New Roman"/>
          <w:sz w:val="14"/>
          <w:szCs w:val="14"/>
          <w:color w:val="auto"/>
        </w:rPr>
      </w:pPr>
    </w:p>
    <w:p>
      <w:pPr>
        <w:ind w:left="1000" w:hanging="326"/>
        <w:spacing w:after="0" w:line="278" w:lineRule="auto"/>
        <w:tabs>
          <w:tab w:leader="none" w:pos="9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Metrics presented for the year ended December 31, 2022 are adjusted to include pre-acquisition data for Tile related to periods before the acquisition of Tile on January 5, 2022.</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S-16</w:t>
      </w:r>
    </w:p>
    <w:p>
      <w:pPr>
        <w:sectPr>
          <w:pgSz w:w="11900" w:h="16838" w:orient="portrait"/>
          <w:cols w:equalWidth="0" w:num="1">
            <w:col w:w="10580"/>
          </w:cols>
          <w:pgMar w:left="320" w:top="12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71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2023 Financial Highlights</w:t>
      </w:r>
    </w:p>
    <w:p>
      <w:pPr>
        <w:spacing w:after="0" w:line="175" w:lineRule="exact"/>
        <w:rPr>
          <w:sz w:val="20"/>
          <w:szCs w:val="20"/>
          <w:color w:val="auto"/>
        </w:rPr>
      </w:pPr>
    </w:p>
    <w:p>
      <w:pPr>
        <w:jc w:val="both"/>
        <w:ind w:left="680"/>
        <w:spacing w:after="0" w:line="255" w:lineRule="auto"/>
        <w:rPr>
          <w:sz w:val="20"/>
          <w:szCs w:val="20"/>
          <w:color w:val="auto"/>
        </w:rPr>
      </w:pPr>
      <w:r>
        <w:rPr>
          <w:rFonts w:ascii="Times New Roman" w:cs="Times New Roman" w:eastAsia="Times New Roman" w:hAnsi="Times New Roman"/>
          <w:sz w:val="18"/>
          <w:szCs w:val="18"/>
          <w:color w:val="auto"/>
        </w:rPr>
        <w:t>We had revenue of $304.5 million for the year ended December 31, 2023, an increase of 33% from our $228.3 million of revenue for the year ended December 31, 2022. Our net loss for the year ended December 31, 2023 was $28.2 million, a $63.4 million reduction from our $91.6 million net loss for the year ended December 31, 2022. Adjusted EBITDA was $20.6 million for the year ended December 31, 2023, an increase of $60.7 million compared to Adjusted EBITDA of $(40.1) million for the year ended December 31, 2022. Our cash flow from operations was $7.5 million for the year ended December 31, 2023, an improvement of $64.6 million compared to $(57.1) million for the year ended December 31, 2022. We had $70.7 million of cash, cash equivalents and restricted cash as of December 31, 2023.</w:t>
      </w:r>
    </w:p>
    <w:p>
      <w:pPr>
        <w:spacing w:after="0" w:line="13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We had subscription revenue of $220.8 million in the year ended December 31, 2023, an increase of 44% from our $153.3 million of subscription revenue in the year ended December 31, 2022, benefiting from U.S. price increases for new Paying Circles and the repricing of existing U.S. iOS and Android Paying Circles.</w:t>
      </w:r>
    </w:p>
    <w:p>
      <w:pPr>
        <w:spacing w:after="0" w:line="122"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Hardware revenue in 2023 increased 21% year-over-year, with a usual seasonal uplift in the fourth quarter of 2023. Key drivers were the 12% uplift in hardware units sold compared to 2022, stable ASP, and contribution from bundling with Life360 subscriptions. Other revenue of $25.5 million in 2023 was down slightly year-over-year, reflecting the transition to a single data partnership beginning January 2022.</w:t>
      </w:r>
    </w:p>
    <w:p>
      <w:pPr>
        <w:spacing w:after="0" w:line="126"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Total commissions expenses, which are revenue-share payments in connection with subscription sales on third-party app store platforms, were $42.7 million and $31.4 million and represented 19.3% and 20.5% of subscription revenue for the years ended December 31, 2023 and December 31, 2022, respectively.</w:t>
      </w:r>
    </w:p>
    <w:p>
      <w:pPr>
        <w:spacing w:after="0" w:line="122" w:lineRule="exact"/>
        <w:rPr>
          <w:sz w:val="20"/>
          <w:szCs w:val="20"/>
          <w:color w:val="auto"/>
        </w:rPr>
      </w:pPr>
    </w:p>
    <w:p>
      <w:pPr>
        <w:jc w:val="both"/>
        <w:ind w:left="680" w:right="20"/>
        <w:spacing w:after="0" w:line="256" w:lineRule="auto"/>
        <w:rPr>
          <w:sz w:val="20"/>
          <w:szCs w:val="20"/>
          <w:color w:val="auto"/>
        </w:rPr>
      </w:pPr>
      <w:r>
        <w:rPr>
          <w:rFonts w:ascii="Times New Roman" w:cs="Times New Roman" w:eastAsia="Times New Roman" w:hAnsi="Times New Roman"/>
          <w:sz w:val="18"/>
          <w:szCs w:val="18"/>
          <w:color w:val="auto"/>
        </w:rPr>
        <w:t>Our net loss for the year ended December 31, 2023 was $28.2 million, a $63.4 million reduction from our $91.6 million net loss for the year ended December 31, 2022. Adjusted EBITDA and Adjusted EBITDA margin improved from 2022 to 2023, driven by cost structure improvements and increased operating leverage as a result of focusing on financial discipline in our business. Adjusted EBITDA of $20.6 million and net loss of $28.2 million for the year ended December 31, 2023 both delivered a significant improvement from the prior year and reflect meaningful progress on our path to profitability. In 2023, Operating expenses increased just 4% year-over-year, and decreased 1% excluding variable commissions, reflecting our disciplined approach to costs.</w:t>
      </w:r>
    </w:p>
    <w:p>
      <w:pPr>
        <w:spacing w:after="0" w:line="1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2023 Operating Highlights</w:t>
      </w:r>
    </w:p>
    <w:p>
      <w:pPr>
        <w:spacing w:after="0" w:line="175"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The Company demonstrated significant operating leverage in 2023 with revenue growth of $76.2 million on an operating expense increase of $9.6 million, yielding increasing Adjusted EBITDA margins and positive Adjusted EBITDA in each quarter. Global MAUs grew nearly 13 million or 26% to 61.4 million in 2023, driven by ongoing investment in our core location sharing experience. International MAUs grew 7 million, or 40% to 24.6 million in 2023 as we increased the speed and responsiveness of the app, and achieved international feature parity with the U.S. Our current international Triple Tier markets of focus - Canada, the UK and ANZ - all delivered significant growth, with particular outperformance in the UK and ANZ.</w:t>
      </w:r>
    </w:p>
    <w:p>
      <w:pPr>
        <w:spacing w:after="0" w:line="133"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In 2023, global net Paying Circle additions were 307,000, with global Paying Circles of 1.8 million in 2023, up 21%, despite significant price increases implemented in the third and fourth quarter of 2022 and second quarter of 2023, underscoring the value our subscribers perceive in the Life360 services. Global ARPPC was 25% higher for the year ended December 31, 2023. U.S. ARPPC increased 32% in 2023 compared to 2022, driven by price increases. International Paying Circles increased 43% from 2022 to 2023 to 474,000, benefiting from strong growth in both the UK and ANZ. Triple Tier Membership launched in the UK in October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0580"/>
          </w:cols>
          <w:pgMar w:left="320" w:top="12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796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796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20" w:type="dxa"/>
            <w:vAlign w:val="bottom"/>
            <w:gridSpan w:val="8"/>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As of and for the Three Months Ended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7"/>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As of and for the Year Ended December 31,</w:t>
            </w:r>
          </w:p>
        </w:tc>
        <w:tc>
          <w:tcPr>
            <w:tcW w:w="0" w:type="dxa"/>
            <w:vAlign w:val="bottom"/>
          </w:tcPr>
          <w:p>
            <w:pPr>
              <w:spacing w:after="0"/>
              <w:rPr>
                <w:sz w:val="1"/>
                <w:szCs w:val="1"/>
                <w:color w:val="auto"/>
              </w:rPr>
            </w:pPr>
          </w:p>
        </w:tc>
      </w:tr>
      <w:tr>
        <w:trPr>
          <w:trHeight w:val="22"/>
        </w:trPr>
        <w:tc>
          <w:tcPr>
            <w:tcW w:w="2080" w:type="dxa"/>
            <w:vAlign w:val="bottom"/>
            <w:vMerge w:val="restart"/>
          </w:tcPr>
          <w:p>
            <w:pPr>
              <w:ind w:left="40"/>
              <w:spacing w:after="0"/>
              <w:rPr>
                <w:sz w:val="20"/>
                <w:szCs w:val="20"/>
                <w:color w:val="auto"/>
              </w:rPr>
            </w:pPr>
            <w:r>
              <w:rPr>
                <w:rFonts w:ascii="Times New Roman" w:cs="Times New Roman" w:eastAsia="Times New Roman" w:hAnsi="Times New Roman"/>
                <w:sz w:val="11"/>
                <w:szCs w:val="11"/>
                <w:i w:val="1"/>
                <w:iCs w:val="1"/>
                <w:color w:val="auto"/>
              </w:rPr>
              <w:t>(in millions, except percentages, ARPPC,</w:t>
            </w: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80" w:type="dxa"/>
            <w:vAlign w:val="bottom"/>
            <w:vMerge w:val="continue"/>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2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2"/>
          </w:tcPr>
          <w:p>
            <w:pPr>
              <w:jc w:val="center"/>
              <w:ind w:right="300"/>
              <w:spacing w:after="0" w:line="102" w:lineRule="exact"/>
              <w:rPr>
                <w:sz w:val="20"/>
                <w:szCs w:val="20"/>
                <w:color w:val="auto"/>
              </w:rPr>
            </w:pPr>
            <w:r>
              <w:rPr>
                <w:rFonts w:ascii="Times New Roman" w:cs="Times New Roman" w:eastAsia="Times New Roman" w:hAnsi="Times New Roman"/>
                <w:sz w:val="11"/>
                <w:szCs w:val="11"/>
                <w:b w:val="1"/>
                <w:bCs w:val="1"/>
                <w:color w:val="auto"/>
                <w:w w:val="97"/>
              </w:rPr>
              <w:t>June 30,</w:t>
            </w: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90"/>
              <w:spacing w:after="0" w:line="102"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56"/>
        </w:trPr>
        <w:tc>
          <w:tcPr>
            <w:tcW w:w="2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1"/>
                <w:szCs w:val="11"/>
                <w:i w:val="1"/>
                <w:iCs w:val="1"/>
                <w:color w:val="auto"/>
              </w:rPr>
              <w:t>ARPPS, and ASP)</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Life360 Core</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Monthly Active Users (MAUs) -</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193"/>
        </w:trPr>
        <w:tc>
          <w:tcPr>
            <w:tcW w:w="2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Global</w:t>
            </w: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5"/>
        </w:trPr>
        <w:tc>
          <w:tcPr>
            <w:tcW w:w="2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Paying Circles - Total</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2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39"/>
        </w:trPr>
        <w:tc>
          <w:tcPr>
            <w:tcW w:w="208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Average Revenue per Paying</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123.97</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120.70</w:t>
            </w:r>
          </w:p>
        </w:tc>
        <w:tc>
          <w:tcPr>
            <w:tcW w:w="8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119.25</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119.97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124.17</w:t>
            </w:r>
          </w:p>
        </w:tc>
        <w:tc>
          <w:tcPr>
            <w:tcW w:w="8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121.09</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96.95</w:t>
            </w:r>
          </w:p>
        </w:tc>
        <w:tc>
          <w:tcPr>
            <w:tcW w:w="8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80.22</w:t>
            </w:r>
          </w:p>
        </w:tc>
        <w:tc>
          <w:tcPr>
            <w:tcW w:w="0" w:type="dxa"/>
            <w:vAlign w:val="bottom"/>
          </w:tcPr>
          <w:p>
            <w:pPr>
              <w:spacing w:after="0"/>
              <w:rPr>
                <w:sz w:val="1"/>
                <w:szCs w:val="1"/>
                <w:color w:val="auto"/>
              </w:rPr>
            </w:pPr>
          </w:p>
        </w:tc>
      </w:tr>
      <w:tr>
        <w:trPr>
          <w:trHeight w:val="193"/>
        </w:trPr>
        <w:tc>
          <w:tcPr>
            <w:tcW w:w="2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Circle (ARPPC)</w:t>
            </w: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88.29</w:t>
            </w:r>
          </w:p>
        </w:tc>
        <w:tc>
          <w:tcPr>
            <w:tcW w:w="0" w:type="dxa"/>
            <w:vAlign w:val="bottom"/>
          </w:tcPr>
          <w:p>
            <w:pPr>
              <w:spacing w:after="0"/>
              <w:rPr>
                <w:sz w:val="1"/>
                <w:szCs w:val="1"/>
                <w:color w:val="auto"/>
              </w:rPr>
            </w:pPr>
          </w:p>
        </w:tc>
      </w:tr>
      <w:tr>
        <w:trPr>
          <w:trHeight w:val="195"/>
        </w:trPr>
        <w:tc>
          <w:tcPr>
            <w:tcW w:w="2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48.94</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45.90</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Life360 Consolidated (Adjusted</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4"/>
                <w:szCs w:val="14"/>
                <w:b w:val="1"/>
                <w:bCs w:val="1"/>
                <w:color w:val="auto"/>
              </w:rPr>
              <w:t>for 2022)</w:t>
            </w:r>
            <w:r>
              <w:rPr>
                <w:rFonts w:ascii="Times New Roman" w:cs="Times New Roman" w:eastAsia="Times New Roman" w:hAnsi="Times New Roman"/>
                <w:sz w:val="18"/>
                <w:szCs w:val="18"/>
                <w:b w:val="1"/>
                <w:bCs w:val="1"/>
                <w:color w:val="auto"/>
                <w:vertAlign w:val="superscript"/>
              </w:rPr>
              <w:t>(1)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Subscriptions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6"/>
        </w:trPr>
        <w:tc>
          <w:tcPr>
            <w:tcW w:w="2080" w:type="dxa"/>
            <w:vAlign w:val="bottom"/>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Average Revenue per Paying</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97.98</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102.17</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99.53</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80.63</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67.70</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Subscription (ARPPS)</w:t>
            </w:r>
          </w:p>
        </w:tc>
        <w:tc>
          <w:tcPr>
            <w:tcW w:w="16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hardware units shipped</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Selling Price (ASP)</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0" w:type="dxa"/>
            <w:vAlign w:val="bottom"/>
          </w:tcPr>
          <w:p>
            <w:pPr>
              <w:spacing w:after="0"/>
              <w:rPr>
                <w:sz w:val="1"/>
                <w:szCs w:val="1"/>
                <w:color w:val="auto"/>
              </w:rPr>
            </w:pPr>
          </w:p>
        </w:tc>
      </w:tr>
      <w:tr>
        <w:trPr>
          <w:trHeight w:val="139"/>
        </w:trPr>
        <w:tc>
          <w:tcPr>
            <w:tcW w:w="208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Annualized Monthly Revenue</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8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8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8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0" w:type="dxa"/>
            <w:vAlign w:val="bottom"/>
          </w:tcPr>
          <w:p>
            <w:pPr>
              <w:spacing w:after="0"/>
              <w:rPr>
                <w:sz w:val="1"/>
                <w:szCs w:val="1"/>
                <w:color w:val="auto"/>
              </w:rPr>
            </w:pPr>
          </w:p>
        </w:tc>
      </w:tr>
      <w:tr>
        <w:trPr>
          <w:trHeight w:val="188"/>
        </w:trPr>
        <w:tc>
          <w:tcPr>
            <w:tcW w:w="2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(AMR)</w:t>
            </w: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hanging="326"/>
        <w:spacing w:after="0" w:line="283" w:lineRule="auto"/>
        <w:tabs>
          <w:tab w:leader="none" w:pos="9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Metrics presented for the year ended December 31, 2022 are adjusted to include pre-acquisition data for Tile related to periods before the acquisition of Tile on January 5, 2022.</w:t>
      </w:r>
    </w:p>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Subscription Revenue</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sales of subscriptions on our platform, including Life360, Jiobit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Hardware Revenue</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We generate our hardware revenue from the sale of the Jiobit and Tile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also generate revenue through an arrangement with a key data partner that provides location-based analytics services to customers in the retail and real estate sectors, municipalities, and other private and public organizations. The agreement permits commercialization of certain aggregated and de-identified data and provides for fixed and variable monthly revenue amounts. Other revenue also includes advertising and partnership revenue, which represents agreements with third parties to provide access to advertising on the Company’s mobile platform.</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Annualized Monthly Revenue</w:t>
      </w:r>
    </w:p>
    <w:p>
      <w:pPr>
        <w:spacing w:after="0" w:line="175" w:lineRule="exact"/>
        <w:rPr>
          <w:sz w:val="20"/>
          <w:szCs w:val="20"/>
          <w:color w:val="auto"/>
        </w:rPr>
      </w:pPr>
    </w:p>
    <w:p>
      <w:pPr>
        <w:jc w:val="both"/>
        <w:ind w:left="680" w:right="20"/>
        <w:spacing w:after="0" w:line="282" w:lineRule="auto"/>
        <w:rPr>
          <w:sz w:val="20"/>
          <w:szCs w:val="20"/>
          <w:color w:val="auto"/>
        </w:rPr>
      </w:pPr>
      <w:r>
        <w:rPr>
          <w:rFonts w:ascii="Times New Roman" w:cs="Times New Roman" w:eastAsia="Times New Roman" w:hAnsi="Times New Roman"/>
          <w:sz w:val="18"/>
          <w:szCs w:val="18"/>
          <w:color w:val="auto"/>
        </w:rPr>
        <w:t>We use AMR to identify the annualized monthly value of active customer agreements at the end of a reporting period. AMR includes the annualized monthly value of Life360 subscription, data and partnership agreements. All</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S-18</w:t>
      </w:r>
    </w:p>
    <w:p>
      <w:pPr>
        <w:sectPr>
          <w:pgSz w:w="11900" w:h="16838" w:orient="portrait"/>
          <w:cols w:equalWidth="0" w:num="1">
            <w:col w:w="10580"/>
          </w:cols>
          <w:pgMar w:left="320" w:top="12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813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81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right="20"/>
        <w:spacing w:after="0" w:line="282" w:lineRule="auto"/>
        <w:rPr>
          <w:sz w:val="20"/>
          <w:szCs w:val="20"/>
          <w:color w:val="auto"/>
        </w:rPr>
      </w:pPr>
      <w:r>
        <w:rPr>
          <w:rFonts w:ascii="Times New Roman" w:cs="Times New Roman" w:eastAsia="Times New Roman" w:hAnsi="Times New Roman"/>
          <w:sz w:val="18"/>
          <w:szCs w:val="18"/>
          <w:color w:val="auto"/>
        </w:rPr>
        <w:t>components of these agreements that are not expected to recur are excluded. This does not represent revenue under GAAP on an annualized basis, as the operating metric can be impacted by start and end dates and renewal rates.</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Monthly Active Users</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An MAU is defined as a unique user who engages with our Life360 branded services each month, which includes both paying and non-paying members. A Life360 MAU is defined as a unique member who engages with our Life360 application each month, which includes both paying and non-paying members.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Paying Circles</w:t>
      </w:r>
    </w:p>
    <w:p>
      <w:pPr>
        <w:spacing w:after="0" w:line="17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We define a Paying Circle as a group of Life360 members with a paying subscription that has been billed as of the end of a period. Each subscription covers all members in the payor’s Circle so everyone in the Circle can utilize the benefits of a Life360 Membership, including access to premium location, driving, digital and emergency safety insights and services.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Paying Circle</w:t>
      </w:r>
    </w:p>
    <w:p>
      <w:pPr>
        <w:spacing w:after="0" w:line="175"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We define ARPPC as annualized subscription revenue recognized and derived from the Life360 mobile application, excluding certain revenue adjustments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175" w:lineRule="exact"/>
        <w:rPr>
          <w:sz w:val="20"/>
          <w:szCs w:val="20"/>
          <w:color w:val="auto"/>
        </w:rPr>
      </w:pPr>
    </w:p>
    <w:p>
      <w:pPr>
        <w:jc w:val="both"/>
        <w:ind w:left="680"/>
        <w:spacing w:after="0" w:line="282" w:lineRule="auto"/>
        <w:rPr>
          <w:sz w:val="20"/>
          <w:szCs w:val="20"/>
          <w:color w:val="auto"/>
        </w:rPr>
      </w:pPr>
      <w:r>
        <w:rPr>
          <w:rFonts w:ascii="Times New Roman" w:cs="Times New Roman" w:eastAsia="Times New Roman" w:hAnsi="Times New Roman"/>
          <w:sz w:val="18"/>
          <w:szCs w:val="18"/>
          <w:color w:val="auto"/>
        </w:rPr>
        <w:t>We define Subscriptions as the number of paying subscribers associated with the Life360, Jiobit and Tile brands who have been billed as of the end of the period.</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Paying Subscription</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define ARPPS as annualized total subscription revenue recognized and derived from Life360, Tile and Jiobit subscriptions, excluding certain revenue adjustments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Net Hardware Units Shipped</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members eligible for a Tile or Jiobit subscription.</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Net Average Selling Price</w:t>
      </w:r>
    </w:p>
    <w:p>
      <w:pPr>
        <w:spacing w:after="0" w:line="175"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To determine the net ASP of a unit, we divide hardware revenue recognized, excluding certain revenue adjustments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75"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GAAP, we use certain non-GAAP financial measures, such as EBITDA, Adjusted EBITDA and non-GAAP operating expenses, to make operating decisions, including those related to operating expenses, evaluation performance and perform strategic planning and annual budgeting. Additionally, the non-GAAP financial information provides useful</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S-19</w:t>
      </w:r>
    </w:p>
    <w:p>
      <w:pPr>
        <w:sectPr>
          <w:pgSz w:w="11900" w:h="16838" w:orient="portrait"/>
          <w:cols w:equalWidth="0" w:num="1">
            <w:col w:w="10580"/>
          </w:cols>
          <w:pgMar w:left="320" w:top="12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922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92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spacing w:after="0" w:line="282" w:lineRule="auto"/>
        <w:rPr>
          <w:sz w:val="20"/>
          <w:szCs w:val="20"/>
          <w:color w:val="auto"/>
        </w:rPr>
      </w:pPr>
      <w:r>
        <w:rPr>
          <w:rFonts w:ascii="Times New Roman" w:cs="Times New Roman" w:eastAsia="Times New Roman" w:hAnsi="Times New Roman"/>
          <w:sz w:val="18"/>
          <w:szCs w:val="18"/>
          <w:color w:val="auto"/>
        </w:rPr>
        <w:t>information to investors and others in understanding and evaluating our results of operations and operating efficiency, as well as providing useful measures for period-to-period comparisons of our business performance.</w:t>
      </w:r>
    </w:p>
    <w:p>
      <w:pPr>
        <w:spacing w:after="0" w:line="108"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Our non-GAAP financial measures are presented for supplemental informational purposes only, may not be comparable to similarly titled measures used by other companies and should not be used as substitutes for analysis of, or superior to, our operating results as reported under GAAP. Additionally, we do not consider our non-GAAP financial measures as superior to, or a substitute for, the equivalent measures calculated and presented in accordance with GAAP. As such, you should consider these non-GAAP financial measures in addition to other financial performance measures presented in accordance with GAAP, including various cash flow metrics, net loss and our other GAAP results.</w:t>
      </w:r>
    </w:p>
    <w:p>
      <w:pPr>
        <w:spacing w:after="0" w:line="1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adjusted to exclude (i) convertible notes and derivative liability fair value adjustments, (ii) provision for (benefit from) income taxes, (iii) depreciation and amortization, (iv) other income (expense), net, (v) stock-based compensation, (vi) Form 10 transaction costs, (vii) acquisition and integration costs, (viii) workplace restructuring costs, (ix) inventory write-offs, (x) adjustment in connection with membership benefit, (xi) warehouse relocation costs and (xii) the revaluation of contingent consideration. We define Adjusted EBITDA margin as Adjusted EBITDA as a percent of revenue.</w:t>
      </w:r>
    </w:p>
    <w:p>
      <w:pPr>
        <w:spacing w:after="0" w:line="129" w:lineRule="exact"/>
        <w:rPr>
          <w:sz w:val="20"/>
          <w:szCs w:val="20"/>
          <w:color w:val="auto"/>
        </w:rPr>
      </w:pPr>
    </w:p>
    <w:p>
      <w:pPr>
        <w:jc w:val="both"/>
        <w:ind w:left="680"/>
        <w:spacing w:after="0" w:line="254" w:lineRule="auto"/>
        <w:rPr>
          <w:sz w:val="20"/>
          <w:szCs w:val="20"/>
          <w:color w:val="auto"/>
        </w:rPr>
      </w:pPr>
      <w:r>
        <w:rPr>
          <w:rFonts w:ascii="Times New Roman" w:cs="Times New Roman" w:eastAsia="Times New Roman" w:hAnsi="Times New Roman"/>
          <w:sz w:val="18"/>
          <w:szCs w:val="18"/>
          <w:color w:val="auto"/>
        </w:rPr>
        <w:t>We refer to Adjusted EBITDA and Adjusted EBITDA margin because they are important measures management uses to assess our operating performance and the operating leverage in our business. Because Adjusted EBITDA and Adjusted EBITDA margin facilitate internal comparisons of our historical operating performance, including as an indication of our revenue growth and operating efficiencies, we use them to evaluate the effectiveness of our strategic initiatives and for business planning purposes. We believe that Adjusted EBITDA, and Adjusted EBITDA margin, when taken collectively, may be useful to investors because they provide consistency and comparability with past financial performance, so that investors can evaluate our operating efficiencies by excluding certain items that may not be indicative of our business, results of operations, or outlook. In addition, we believe Adjusted EBITDA is widely used by investors, securities analysts, ratings agencies, and other parties in evaluating companies in our industry as a measure of operational performance.</w:t>
      </w:r>
    </w:p>
    <w:p>
      <w:pPr>
        <w:spacing w:after="0" w:line="134"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Adjusted EBITDA and Adjusted EBITDA margin should not be considered as alternatives to net income (loss), net income (loss) as a percent of revenue, or any other measure of financial performance calculated and presented in accordance with GAAP. There are a number of limitations related to the use of Adjusted EBITDA and Adjusted EBITDA margin rather than net income (loss) and net income (loss) as a percent of revenue, which are the most directly comparable GAAP measures. Some of these limitations are that each of Adjusted EBITDA and Adjusted EBITDA margin:</w:t>
      </w:r>
    </w:p>
    <w:p>
      <w:pPr>
        <w:spacing w:after="0" w:line="129" w:lineRule="exact"/>
        <w:rPr>
          <w:sz w:val="20"/>
          <w:szCs w:val="20"/>
          <w:color w:val="auto"/>
        </w:rPr>
      </w:pPr>
    </w:p>
    <w:p>
      <w:pPr>
        <w:ind w:left="1320" w:hanging="322"/>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stock-based compensation expense;</w:t>
      </w:r>
    </w:p>
    <w:p>
      <w:pPr>
        <w:spacing w:after="0" w:line="171"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assets being depreciated may have to be replaced in the future, increasing our cash requirements;</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other income and expense; and</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income taxes that reduces cash available to us.</w:t>
      </w:r>
    </w:p>
    <w:p>
      <w:pPr>
        <w:spacing w:after="0" w:line="171"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 Because of these limitations, we consider, and you should consider, Adjusted EBITDA together with other operating and financial performance measures presented in accordance with GAAP.</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S-20</w:t>
      </w:r>
    </w:p>
    <w:p>
      <w:pPr>
        <w:sectPr>
          <w:pgSz w:w="11900" w:h="16838" w:orient="portrait"/>
          <w:cols w:equalWidth="0" w:num="1">
            <w:col w:w="10580"/>
          </w:cols>
          <w:pgMar w:left="320" w:top="121"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5756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75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6"/>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ind w:left="160"/>
              <w:spacing w:after="0" w:line="102"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6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gridSpan w:val="2"/>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ind w:right="158"/>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vMerge w:val="restart"/>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vMerge w:val="restart"/>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vMerge w:val="restart"/>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 except margins)</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(9,777)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(14,071)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(4,413)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(6,541)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(3,146)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(28,171)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(91,629)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(33,557)</w:t>
            </w:r>
          </w:p>
        </w:tc>
        <w:tc>
          <w:tcPr>
            <w:tcW w:w="0" w:type="dxa"/>
            <w:vAlign w:val="bottom"/>
          </w:tcPr>
          <w:p>
            <w:pPr>
              <w:spacing w:after="0"/>
              <w:rPr>
                <w:sz w:val="1"/>
                <w:szCs w:val="1"/>
                <w:color w:val="auto"/>
              </w:rPr>
            </w:pPr>
          </w:p>
        </w:tc>
      </w:tr>
      <w:tr>
        <w:trPr>
          <w:trHeight w:val="171"/>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i w:val="1"/>
                <w:iCs w:val="1"/>
                <w:color w:val="auto"/>
              </w:rPr>
              <w:t>Net loss margin</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(30)%</w:t>
            </w:r>
          </w:p>
        </w:tc>
        <w:tc>
          <w:tcPr>
            <w:tcW w:w="0" w:type="dxa"/>
            <w:vAlign w:val="bottom"/>
          </w:tcPr>
          <w:p>
            <w:pPr>
              <w:spacing w:after="0"/>
              <w:rPr>
                <w:sz w:val="1"/>
                <w:szCs w:val="1"/>
                <w:color w:val="auto"/>
              </w:rPr>
            </w:pPr>
          </w:p>
        </w:tc>
      </w:tr>
      <w:tr>
        <w:trPr>
          <w:trHeight w:val="147"/>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Add (deduct):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Convertible notes fair value</w:t>
            </w:r>
          </w:p>
        </w:tc>
        <w:tc>
          <w:tcPr>
            <w:tcW w:w="180" w:type="dxa"/>
            <w:vAlign w:val="bottom"/>
          </w:tcPr>
          <w:p>
            <w:pPr>
              <w:spacing w:after="0"/>
              <w:rPr>
                <w:sz w:val="9"/>
                <w:szCs w:val="9"/>
                <w:color w:val="auto"/>
              </w:rPr>
            </w:pPr>
          </w:p>
        </w:tc>
        <w:tc>
          <w:tcPr>
            <w:tcW w:w="78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color w:val="auto"/>
              </w:rPr>
              <w:t>608</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restart"/>
          </w:tcPr>
          <w:p>
            <w:pPr>
              <w:jc w:val="right"/>
              <w:ind w:right="58"/>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color w:val="auto"/>
              </w:rPr>
              <w:t>604</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right"/>
              <w:ind w:right="58"/>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color w:val="auto"/>
              </w:rPr>
              <w:t>684</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(1,786)</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511</w:t>
            </w:r>
          </w:p>
        </w:tc>
        <w:tc>
          <w:tcPr>
            <w:tcW w:w="0" w:type="dxa"/>
            <w:vAlign w:val="bottom"/>
          </w:tcPr>
          <w:p>
            <w:pPr>
              <w:spacing w:after="0"/>
              <w:rPr>
                <w:sz w:val="1"/>
                <w:szCs w:val="1"/>
                <w:color w:val="auto"/>
              </w:rPr>
            </w:pPr>
          </w:p>
        </w:tc>
      </w:tr>
      <w:tr>
        <w:trPr>
          <w:trHeight w:val="154"/>
        </w:trPr>
        <w:tc>
          <w:tcPr>
            <w:tcW w:w="15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adjustment</w:t>
            </w:r>
            <w:r>
              <w:rPr>
                <w:rFonts w:ascii="Times New Roman" w:cs="Times New Roman" w:eastAsia="Times New Roman" w:hAnsi="Times New Roman"/>
                <w:sz w:val="7"/>
                <w:szCs w:val="7"/>
                <w:color w:val="auto"/>
              </w:rPr>
              <w:t>(1)</w:t>
            </w: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500" w:type="dxa"/>
            <w:vAlign w:val="bottom"/>
            <w:shd w:val="clear" w:color="auto" w:fill="CCEEFF"/>
          </w:tcPr>
          <w:p>
            <w:pPr>
              <w:ind w:left="40"/>
              <w:spacing w:after="0" w:line="116" w:lineRule="exact"/>
              <w:rPr>
                <w:sz w:val="20"/>
                <w:szCs w:val="20"/>
                <w:color w:val="auto"/>
              </w:rPr>
            </w:pPr>
            <w:r>
              <w:rPr>
                <w:rFonts w:ascii="Times New Roman" w:cs="Times New Roman" w:eastAsia="Times New Roman" w:hAnsi="Times New Roman"/>
                <w:sz w:val="11"/>
                <w:szCs w:val="11"/>
                <w:color w:val="auto"/>
              </w:rPr>
              <w:t>Derivative liability fair value</w:t>
            </w:r>
          </w:p>
        </w:tc>
        <w:tc>
          <w:tcPr>
            <w:tcW w:w="1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1,707</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(1,295)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733</w:t>
            </w: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adjustment</w:t>
            </w:r>
            <w:r>
              <w:rPr>
                <w:rFonts w:ascii="Times New Roman" w:cs="Times New Roman" w:eastAsia="Times New Roman" w:hAnsi="Times New Roman"/>
                <w:sz w:val="7"/>
                <w:szCs w:val="7"/>
                <w:color w:val="auto"/>
              </w:rPr>
              <w:t>(1)</w:t>
            </w:r>
          </w:p>
        </w:tc>
        <w:tc>
          <w:tcPr>
            <w:tcW w:w="1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18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1,394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411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616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81"/>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7"/>
                <w:szCs w:val="7"/>
                <w:color w:val="auto"/>
              </w:rPr>
              <w:t>(2)</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2,295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2,273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2,276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2,295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2,297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9,141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9,199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876</w:t>
            </w:r>
          </w:p>
        </w:tc>
        <w:tc>
          <w:tcPr>
            <w:tcW w:w="0" w:type="dxa"/>
            <w:vAlign w:val="bottom"/>
          </w:tcPr>
          <w:p>
            <w:pPr>
              <w:spacing w:after="0"/>
              <w:rPr>
                <w:sz w:val="1"/>
                <w:szCs w:val="1"/>
                <w:color w:val="auto"/>
              </w:rPr>
            </w:pPr>
          </w:p>
        </w:tc>
      </w:tr>
      <w:tr>
        <w:trPr>
          <w:trHeight w:val="170"/>
        </w:trPr>
        <w:tc>
          <w:tcPr>
            <w:tcW w:w="1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Other income (expense), net</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(843)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(617)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(1,431)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(3,228)</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200"/>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EBITDA</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(4,084)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(12,619)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(1,967)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(4,212)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(2,045)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(20,842)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(85,212)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(31,386)</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80" w:type="dxa"/>
            <w:vAlign w:val="bottom"/>
          </w:tcPr>
          <w:p>
            <w:pPr>
              <w:spacing w:after="0"/>
              <w:rPr>
                <w:sz w:val="12"/>
                <w:szCs w:val="12"/>
                <w:color w:val="auto"/>
              </w:rPr>
            </w:pPr>
          </w:p>
        </w:tc>
        <w:tc>
          <w:tcPr>
            <w:tcW w:w="78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8,261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8,955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9,269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9,454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10,834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38,512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3"/>
                <w:szCs w:val="13"/>
                <w:color w:val="auto"/>
              </w:rPr>
              <w:t>34,680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3"/>
                <w:szCs w:val="13"/>
                <w:color w:val="auto"/>
              </w:rPr>
              <w:t>11,938</w:t>
            </w:r>
          </w:p>
        </w:tc>
        <w:tc>
          <w:tcPr>
            <w:tcW w:w="0" w:type="dxa"/>
            <w:vAlign w:val="bottom"/>
          </w:tcPr>
          <w:p>
            <w:pPr>
              <w:spacing w:after="0"/>
              <w:rPr>
                <w:sz w:val="1"/>
                <w:szCs w:val="1"/>
                <w:color w:val="auto"/>
              </w:rPr>
            </w:pPr>
          </w:p>
        </w:tc>
      </w:tr>
      <w:tr>
        <w:trPr>
          <w:trHeight w:val="181"/>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Form 10 transaction costs</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9"/>
              </w:rPr>
              <w:t>Acquisition and integration costs</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11,949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2,744</w:t>
            </w:r>
          </w:p>
        </w:tc>
        <w:tc>
          <w:tcPr>
            <w:tcW w:w="0" w:type="dxa"/>
            <w:vAlign w:val="bottom"/>
          </w:tcPr>
          <w:p>
            <w:pPr>
              <w:spacing w:after="0"/>
              <w:rPr>
                <w:sz w:val="1"/>
                <w:szCs w:val="1"/>
                <w:color w:val="auto"/>
              </w:rPr>
            </w:pPr>
          </w:p>
        </w:tc>
      </w:tr>
      <w:tr>
        <w:trPr>
          <w:trHeight w:val="181"/>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Workplace restructuring costs</w:t>
            </w:r>
            <w:r>
              <w:rPr>
                <w:rFonts w:ascii="Times New Roman" w:cs="Times New Roman" w:eastAsia="Times New Roman" w:hAnsi="Times New Roman"/>
                <w:sz w:val="7"/>
                <w:szCs w:val="7"/>
                <w:color w:val="auto"/>
              </w:rPr>
              <w:t>(3)</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3,254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478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4,024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8"/>
              </w:rPr>
              <w:t>Write-off of obsolete inventory</w:t>
            </w:r>
            <w:r>
              <w:rPr>
                <w:rFonts w:ascii="Times New Roman" w:cs="Times New Roman" w:eastAsia="Times New Roman" w:hAnsi="Times New Roman"/>
                <w:sz w:val="7"/>
                <w:szCs w:val="7"/>
                <w:color w:val="auto"/>
                <w:w w:val="98"/>
              </w:rPr>
              <w:t>(4)</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916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916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4"/>
        </w:trPr>
        <w:tc>
          <w:tcPr>
            <w:tcW w:w="1500" w:type="dxa"/>
            <w:vAlign w:val="bottom"/>
            <w:shd w:val="clear" w:color="auto" w:fill="CCEEFF"/>
          </w:tcPr>
          <w:p>
            <w:pPr>
              <w:ind w:left="40"/>
              <w:spacing w:after="0" w:line="114" w:lineRule="exact"/>
              <w:rPr>
                <w:sz w:val="20"/>
                <w:szCs w:val="20"/>
                <w:color w:val="auto"/>
              </w:rPr>
            </w:pPr>
            <w:r>
              <w:rPr>
                <w:rFonts w:ascii="Times New Roman" w:cs="Times New Roman" w:eastAsia="Times New Roman" w:hAnsi="Times New Roman"/>
                <w:sz w:val="11"/>
                <w:szCs w:val="11"/>
                <w:color w:val="auto"/>
              </w:rPr>
              <w:t>Adjustment in connection with</w:t>
            </w:r>
          </w:p>
        </w:tc>
        <w:tc>
          <w:tcPr>
            <w:tcW w:w="1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(2,094)</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(2,172)</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membership benefit</w:t>
            </w:r>
            <w:r>
              <w:rPr>
                <w:rFonts w:ascii="Times New Roman" w:cs="Times New Roman" w:eastAsia="Times New Roman" w:hAnsi="Times New Roman"/>
                <w:sz w:val="7"/>
                <w:szCs w:val="7"/>
                <w:color w:val="auto"/>
              </w:rPr>
              <w:t>(5)</w:t>
            </w:r>
          </w:p>
        </w:tc>
        <w:tc>
          <w:tcPr>
            <w:tcW w:w="1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Warehouse relocation costs</w:t>
            </w:r>
            <w:r>
              <w:rPr>
                <w:rFonts w:ascii="Times New Roman" w:cs="Times New Roman" w:eastAsia="Times New Roman" w:hAnsi="Times New Roman"/>
                <w:sz w:val="7"/>
                <w:szCs w:val="7"/>
                <w:color w:val="auto"/>
              </w:rPr>
              <w:t>(6)</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4"/>
        </w:trPr>
        <w:tc>
          <w:tcPr>
            <w:tcW w:w="1500" w:type="dxa"/>
            <w:vAlign w:val="bottom"/>
            <w:shd w:val="clear" w:color="auto" w:fill="CCEEFF"/>
          </w:tcPr>
          <w:p>
            <w:pPr>
              <w:ind w:left="40"/>
              <w:spacing w:after="0" w:line="114" w:lineRule="exact"/>
              <w:rPr>
                <w:sz w:val="20"/>
                <w:szCs w:val="20"/>
                <w:color w:val="auto"/>
              </w:rPr>
            </w:pPr>
            <w:r>
              <w:rPr>
                <w:rFonts w:ascii="Times New Roman" w:cs="Times New Roman" w:eastAsia="Times New Roman" w:hAnsi="Times New Roman"/>
                <w:sz w:val="11"/>
                <w:szCs w:val="11"/>
                <w:color w:val="auto"/>
              </w:rPr>
              <w:t>(Gain)/loss on revaluation of</w:t>
            </w:r>
          </w:p>
        </w:tc>
        <w:tc>
          <w:tcPr>
            <w:tcW w:w="1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(5,279)</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3,600</w:t>
            </w:r>
          </w:p>
        </w:tc>
        <w:tc>
          <w:tcPr>
            <w:tcW w:w="0" w:type="dxa"/>
            <w:vAlign w:val="bottom"/>
          </w:tcPr>
          <w:p>
            <w:pPr>
              <w:spacing w:after="0"/>
              <w:rPr>
                <w:sz w:val="1"/>
                <w:szCs w:val="1"/>
                <w:color w:val="auto"/>
              </w:rPr>
            </w:pPr>
          </w:p>
        </w:tc>
      </w:tr>
      <w:tr>
        <w:trPr>
          <w:trHeight w:val="156"/>
        </w:trPr>
        <w:tc>
          <w:tcPr>
            <w:tcW w:w="1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contingent consideration</w:t>
            </w:r>
          </w:p>
        </w:tc>
        <w:tc>
          <w:tcPr>
            <w:tcW w:w="18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5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Adjusted EBITDA</w:t>
            </w: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4,282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5,686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5,479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8,887</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20,559</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(40,096)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(13,104)</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i w:val="1"/>
                <w:iCs w:val="1"/>
                <w:color w:val="auto"/>
              </w:rPr>
              <w:t>Adjusted EBITDA margin</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5 %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8 %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7 %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10 %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7 %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hanging="326"/>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the change in fair value of the September 2021 Convertible Notes and derivative liability associated with the July 2021 Convertible Notes.</w:t>
      </w:r>
    </w:p>
    <w:p>
      <w:pPr>
        <w:spacing w:after="0" w:line="14"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on fixed assets and amortization of acquired intangible assets.</w:t>
      </w:r>
    </w:p>
    <w:p>
      <w:pPr>
        <w:spacing w:after="0" w:line="4"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non-recurring personnel and severance related expenses in connection with the workplace restructuring announced on January 12, 2023.</w:t>
      </w:r>
    </w:p>
    <w:p>
      <w:pPr>
        <w:spacing w:after="0" w:line="11"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the write-off of raw materials that have no alternative use to the Company following the decision to halt development.</w:t>
      </w:r>
    </w:p>
    <w:p>
      <w:pPr>
        <w:spacing w:after="0" w:line="14" w:lineRule="exact"/>
        <w:rPr>
          <w:rFonts w:ascii="Times New Roman" w:cs="Times New Roman" w:eastAsia="Times New Roman" w:hAnsi="Times New Roman"/>
          <w:sz w:val="14"/>
          <w:szCs w:val="14"/>
          <w:color w:val="auto"/>
        </w:rPr>
      </w:pPr>
    </w:p>
    <w:p>
      <w:pPr>
        <w:ind w:left="1000" w:hanging="326"/>
        <w:spacing w:after="0" w:line="261" w:lineRule="auto"/>
        <w:tabs>
          <w:tab w:leader="none" w:pos="9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an adjustment recorded to reduce product costs recorded to cost of revenue in connection with the discontinuation of certain battery related membership benefits.</w:t>
      </w:r>
    </w:p>
    <w:p>
      <w:pPr>
        <w:ind w:left="1000" w:hanging="326"/>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non-recurring warehouse relocation costs in relation to the Company’s transition to a new logistics partner.</w:t>
      </w:r>
    </w:p>
    <w:p>
      <w:pPr>
        <w:spacing w:after="0" w:line="15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GAAP to Non-GAAP Operating Expense Reconciliation</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Non-GAAP operating expenses present direct and indirect expenses adjusted for non-cash expenses, such as stock-based compensation, depreciation and amortization, and convertible notes and derivative liability fair value adjustments, and non-recurring expenses, such as workplace restructuring costs and the write-off of obsolete inventory. We believe non-GAAP operating expense information is useful to investors and others in understanding and evaluating our operating efficiency as well as providing a useful measure for period-to-period comparisons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0580"/>
          </w:cols>
          <w:pgMar w:left="320" w:top="12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4770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477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line="282" w:lineRule="auto"/>
        <w:rPr>
          <w:sz w:val="20"/>
          <w:szCs w:val="20"/>
          <w:color w:val="auto"/>
        </w:rPr>
      </w:pPr>
      <w:r>
        <w:rPr>
          <w:rFonts w:ascii="Times New Roman" w:cs="Times New Roman" w:eastAsia="Times New Roman" w:hAnsi="Times New Roman"/>
          <w:sz w:val="18"/>
          <w:szCs w:val="18"/>
          <w:color w:val="auto"/>
        </w:rPr>
        <w:t>our business performance. A reconciliation of GAAP operating expenses to non-GAAP operating expenses has been provided as supplementary information below.</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6"/>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3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ind w:left="80"/>
              <w:spacing w:after="0" w:line="102"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98"/>
              <w:spacing w:after="0" w:line="102"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80" w:type="dxa"/>
            <w:vAlign w:val="bottom"/>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Research and development expense, GAAP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24,569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26,018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102,480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50,994</w:t>
            </w: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Depreciation and amortization, GAAP</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 Stock-based compensation,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94"/>
              </w:rPr>
              <w:t>(5,477)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(7,457)</w:t>
            </w: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Severance and other, GAAP</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0"/>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6"/>
              </w:rPr>
              <w:t>Total Research and development, Non-GAAP</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19,075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43,537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Sales and marketing expense,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25,741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25,668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99,072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92,419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47,473</w:t>
            </w: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Depreciation and amortization, GAAP</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94"/>
              </w:rPr>
              <w:t>(1,058)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 Stock-based compensation,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Severance and other, GAAP</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2380" w:type="dxa"/>
            <w:vAlign w:val="bottom"/>
            <w:tcBorders>
              <w:top w:val="single" w:sz="8" w:color="CCEEFF"/>
            </w:tcBorders>
            <w:shd w:val="clear" w:color="auto" w:fill="CCEEFF"/>
          </w:tcPr>
          <w:p>
            <w:pPr>
              <w:ind w:left="40"/>
              <w:spacing w:after="0" w:line="116" w:lineRule="exact"/>
              <w:rPr>
                <w:sz w:val="20"/>
                <w:szCs w:val="20"/>
                <w:color w:val="auto"/>
              </w:rPr>
            </w:pPr>
            <w:r>
              <w:rPr>
                <w:rFonts w:ascii="Times New Roman" w:cs="Times New Roman" w:eastAsia="Times New Roman" w:hAnsi="Times New Roman"/>
                <w:sz w:val="13"/>
                <w:szCs w:val="13"/>
                <w:color w:val="auto"/>
              </w:rPr>
              <w:t>Total Sales and marketing expense, Non-</w:t>
            </w: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23,043</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21,653</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21,643</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23,883</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23,719</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90,912</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83,811</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46,575</w:t>
            </w:r>
          </w:p>
        </w:tc>
        <w:tc>
          <w:tcPr>
            <w:tcW w:w="0" w:type="dxa"/>
            <w:vAlign w:val="bottom"/>
          </w:tcPr>
          <w:p>
            <w:pPr>
              <w:spacing w:after="0"/>
              <w:rPr>
                <w:sz w:val="1"/>
                <w:szCs w:val="1"/>
                <w:color w:val="auto"/>
              </w:rPr>
            </w:pPr>
          </w:p>
        </w:tc>
      </w:tr>
      <w:tr>
        <w:trPr>
          <w:trHeight w:val="173"/>
        </w:trPr>
        <w:tc>
          <w:tcPr>
            <w:tcW w:w="2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GAAP</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General and administrative expense,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14,082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52,583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48,110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23,670</w:t>
            </w: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Depreciation and amortization, GAAP</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 Stock-based compensation,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94"/>
              </w:rPr>
              <w:t>(2,825)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(3,207)</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Less: Severance and other, GAAP</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(9,100)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(6,344)</w:t>
            </w:r>
          </w:p>
        </w:tc>
        <w:tc>
          <w:tcPr>
            <w:tcW w:w="0" w:type="dxa"/>
            <w:vAlign w:val="bottom"/>
          </w:tcPr>
          <w:p>
            <w:pPr>
              <w:spacing w:after="0"/>
              <w:rPr>
                <w:sz w:val="1"/>
                <w:szCs w:val="1"/>
                <w:color w:val="auto"/>
              </w:rPr>
            </w:pPr>
          </w:p>
        </w:tc>
      </w:tr>
      <w:tr>
        <w:trPr>
          <w:trHeight w:val="116"/>
        </w:trPr>
        <w:tc>
          <w:tcPr>
            <w:tcW w:w="2380" w:type="dxa"/>
            <w:vAlign w:val="bottom"/>
            <w:shd w:val="clear" w:color="auto" w:fill="CCEEFF"/>
          </w:tcPr>
          <w:p>
            <w:pPr>
              <w:ind w:left="40"/>
              <w:spacing w:after="0" w:line="116" w:lineRule="exact"/>
              <w:rPr>
                <w:sz w:val="20"/>
                <w:szCs w:val="20"/>
                <w:color w:val="auto"/>
              </w:rPr>
            </w:pPr>
            <w:r>
              <w:rPr>
                <w:rFonts w:ascii="Times New Roman" w:cs="Times New Roman" w:eastAsia="Times New Roman" w:hAnsi="Times New Roman"/>
                <w:sz w:val="13"/>
                <w:szCs w:val="13"/>
                <w:color w:val="auto"/>
              </w:rPr>
              <w:t>Total General and administrative expense,</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12,337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11,091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9,808</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39,745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28,821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13,681</w:t>
            </w:r>
          </w:p>
        </w:tc>
        <w:tc>
          <w:tcPr>
            <w:tcW w:w="0" w:type="dxa"/>
            <w:vAlign w:val="bottom"/>
          </w:tcPr>
          <w:p>
            <w:pPr>
              <w:spacing w:after="0"/>
              <w:rPr>
                <w:sz w:val="1"/>
                <w:szCs w:val="1"/>
                <w:color w:val="auto"/>
              </w:rPr>
            </w:pPr>
          </w:p>
        </w:tc>
      </w:tr>
      <w:tr>
        <w:trPr>
          <w:trHeight w:val="173"/>
        </w:trPr>
        <w:tc>
          <w:tcPr>
            <w:tcW w:w="2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Non-GAAP</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Operating expenses,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64,392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64,481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252,620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243,009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122,137</w:t>
            </w:r>
          </w:p>
        </w:tc>
        <w:tc>
          <w:tcPr>
            <w:tcW w:w="0" w:type="dxa"/>
            <w:vAlign w:val="bottom"/>
          </w:tcPr>
          <w:p>
            <w:pPr>
              <w:spacing w:after="0"/>
              <w:rPr>
                <w:sz w:val="1"/>
                <w:szCs w:val="1"/>
                <w:color w:val="auto"/>
              </w:rPr>
            </w:pPr>
          </w:p>
        </w:tc>
      </w:tr>
      <w:tr>
        <w:trPr>
          <w:trHeight w:val="170"/>
        </w:trPr>
        <w:tc>
          <w:tcPr>
            <w:tcW w:w="23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Depreciation and amortization, GAAP</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94"/>
              </w:rPr>
              <w:t>(1,078)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 Stock-based compensation, GAAP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94"/>
              </w:rPr>
              <w:t>(9,027)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(33,034)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(11,416)</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Less: Severance and other, GAAP</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(10,200)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(6,344)</w:t>
            </w:r>
          </w:p>
        </w:tc>
        <w:tc>
          <w:tcPr>
            <w:tcW w:w="0" w:type="dxa"/>
            <w:vAlign w:val="bottom"/>
          </w:tcPr>
          <w:p>
            <w:pPr>
              <w:spacing w:after="0"/>
              <w:rPr>
                <w:sz w:val="1"/>
                <w:szCs w:val="1"/>
                <w:color w:val="auto"/>
              </w:rPr>
            </w:pPr>
          </w:p>
        </w:tc>
      </w:tr>
      <w:tr>
        <w:trPr>
          <w:trHeight w:val="200"/>
        </w:trPr>
        <w:tc>
          <w:tcPr>
            <w:tcW w:w="2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Operating expenses, Non-GAAP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57,293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50,964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48,613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54,049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53,130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206,802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195,159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103,793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0560"/>
          </w:cols>
          <w:pgMar w:left="320" w:top="121"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below and under the heading titled “Risk Factors” contained in our most recent Annual Report on Form 10-K, as well as any amendments thereto reflected in subsequent Quarterly Reports on Form 10-Q and other filings with the SEC, which are incorporated by reference into this prospectus supplement, in their entirety, together with other information in this prospectus supplement,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below titled “Special Note Regarding Forward-Looking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 and CDIs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CDIs has been, and common stock may be, volatile, which could cause the value of our common stock to decline.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of our CDIs on the ASX has been, and the trading price of our common stock may be, volatile, and could be subject to wide fluctuations. In addition, the trading volume in our CDIs and common stock may fluctuate and cause significant price variations to occur. Securities markets worldwide experience significant price and volume fluctuations as a result of a variety of factors, many of which are beyond our control but may nonetheless decrease the market price of our CDIs and common stock, regardless of our actual operating performance, including:</w:t>
      </w:r>
    </w:p>
    <w:p>
      <w:pPr>
        <w:spacing w:after="0" w:line="12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reaction to our press releases, announcements and filings with the SEC and ASX;</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market prices and trading volumes of technology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and political conditions, financial markets, and/or the technology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securityholders;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stock and/or changes in their recommendations and estimates of our financial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prices and trading volumes of our CDIs or common stock;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or incorporated by reference into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our listing on more than one stock exchange may result in price variations between the markets and volatility in our stock price. Our CDIs are currently listed on the ASX. Trading in our common stock and CDIs will therefore take place in different currencies (i.e., in Australian dollars on the ASX and in U.S. dollars on Nasdaq Global Select Market), and at different times (resulting from different time zones, different trading days and different public holidays in the United States and Australia). The trading prices of our CDIs and our common stock on two markets may differ as a result of these, or other, factors. Any decrease in the price of our CDIs or common stock on either market could cause a decrease in the trading prices of our CDIs or our common stock on the other market. In addition, investors may seek to profit by exploiting the difference, if any, between the price of our CDIs on the ASX and the price of shares of our common stock on Nasdaq Global Select Market. Such arbitrage activities could cause our stock price in the market with the higher value to decrease to the price set by the market with the lower value and could also lead to significant volatility in the price of our common stock or CDIs. Additionally, while we have historically transacted in U.S. dollars, we have transacted in some foreign currencies, such as the Australian Dollar, and may transact in more foreign currencies in the future. Accordingly, changes in the value of foreign currencies relative to the U.S. dollar can affect our revenue and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CDIs on the ASX or common stock on Nasdaq Global Select Market could be lowered.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initial public offering price of our common stock may not be indicative of the market price of our common stock after this offering.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public offering price was determined by negotiations between us, the selling securityholders, and representatives of the underwriters, based on numerous factors which we discuss in the section titled “Underwriting,” and may not be indicative of the market price of our common stock after this offering. If you purchase our common stock, you may not be able to resell those shares at or above the initial public offering price.</w:t>
      </w:r>
    </w:p>
    <w:p>
      <w:pPr>
        <w:spacing w:after="0" w:line="11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develop or be sustained. You may be unable to sell your shares of our common stock at or above the price at which you purchased them.</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expect our common stock to be listed and traded on Nasdaq Global Select Market. Prior to listing on Nasdaq Global Select Market, there has been no public market for our common stock in the United States. An active, liquid, and orderly trading market for our common stock may not initially develop or be sustained, which could significantly depress the trading price of our common stock and/or result in significant volatility, which could affect your ability to sell your shares of our common stock.</w:t>
      </w:r>
    </w:p>
    <w:p>
      <w:pPr>
        <w:spacing w:after="0" w:line="12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 industry analysts do not continue to publish research or publish inaccurate or unfavorable research about our business, our stock price and trading volume could decline.</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CDIs on the ASX is influenced by the research and reports that industry or securities analysts publish about us or our business. If one or more of the analysts currently covering our securities ceases coverage, the trading price for our CDIs on the ASX may be negatively impacted. If any of the analysts who cover us issue an adverse or misleading opinion regarding us, our business model, our intellectual property, or our CDI performance, or if our results of operations fail to meet the expectations of analysts, our CDIs and common stock price would likely decline. If one or more of these analysts cease coverage of us or fail to publish reports on us regularly, we could lose visibility in the financial markets, which in turn could cause our common stock price or trading volume to decline.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research analysts do not currently provide coverage of our common stock, and we cannot assure you that any equity research analysts will adequately provide research coverage of our common stock after the listing of our common stock on Nasdaq Global Select Market. A lack of adequate research coverage may harm the liquidity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trading price of our common stock. To the extent equity research analysts do provide research coverage of our common stock, we will not have any control over the content and opinions included in their reports. The trading price of our common stock could decline if one or more equity research analysts downgrade our stock or publish other unfavorable commentary or research. If one or more equity research analysts cease coverage of our company, or fail to regularly publish reports on us, the demand for our common stock could decrease, which in turn could cause our trading price or trading volume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to us from this offering and may not use them effectively.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on the judgment of our management with respect to the use of proceeds. Pending use, we may invest the net proceeds from this offering in investment-grade, interest-bearing instruments such as money market funds, corporate debt securities, certificates of deposit, commercial paper, and U.S. government and government agency debt securities that may not generate a high yield for our securityholders. If we do not use the net proceeds that we receive in this offering effectively, our business, financial condition, results of operations, and prospects could be harmed, and the market price of our common stock could decline.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following the closing of this offering, or the perception that these sales might occur, could depress the market price of our common stock, and could impair our ability to raise capital through the sale of additional equity securities. Many of our existing equity holders have substantial unrecognized gains on the value of the equity they hold based upon the price of this offering, and therefore, may take steps to sell their shares or otherwise secure the unrecognized gains on those shares. We are unable to predict the timing of or the effect that such sales may have on the prevailing market price of our common stock.</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all of our directors and executive officers, and certain holders of our common stock and securities exercisable for or convertible into our common stock, have entered into lock-up agreements with the underwriters and/or agreements with market stand-off provisions that restrict our and their ability to sell or transfer shares of our capital stock, and securities convertible into or exercisable or exchangeable for shares of our capital stock, for a period of 90 days from the date of this prospectus supplement, which we refer to as the lock-up period, subject to certain customary exceptions and certain provisions that provide for the early release of certain shares. See the section titled “Underwriting” for a discussion of such exceptions that may allow for sales during the lock-up period. In addition, Goldman Sachs &amp; Co. LLC may, in its sole discretion, release certain securityholders from the lock-up agreements prior to the end of the lock-up period. If not earlier released, all of our shares of our common stock, other than those sold in this offering, which are freely tradable, will become eligible for sale upon expiration of the lock-up period, except for any shares held by our affiliates as defined in Rule 144 under Securities Act.</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as of March 31, 2024, up to 11,595,402 shares of our common stock may be issued upon exercise of outstanding stock options or vesting and settlement of outstanding RSUs, and up to 13,816,316 shares of our common stock are available for future issuance under our 2011 Equity Incentive Plan, and will become eligible for sale in the public market to the extent permitted by the provisions of various vesting schedules, exercise limitations, the lock-up agreements and market stand-off provisions. We have registered all of the shares of our common stock issuable upon exercise of outstanding options or other equity incentive awards we may grant in the future for public resale under the Securities Act. If these additional shares of our common stock are sold, or if it is perceived that they will be sold, in the public market, the trading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69,440,062 shares outstanding as of March 31, 2024, on the closing of this offering, we will have outstanding a total of 73,006,638 shares of common stock, which gives effect to (i) the cash exercise of warrants to purchase 88,212 shares of our common stock with an exercise price of $11.96 per share (which expire on July 1, 2026) outstanding as of March 31, 2024, (ii) the cash exercise of options to purchase 7,941 shares of our common stock outstanding as of March 31, 2024, (iii) the issuance of 184,192 shares of our common stock issuable upon the conversion of outstanding convertible notes as of March 31, 2024, in each case in connection with this offering.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of our common stock you purchase in this offering.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public offering price of our common stock is substantially higher than the net tangible book value per share of our common stock immediately after this offering. If you purchase shares of our common stock in this offering, you will suffer immediate dilution of $28.43 per share, representing the difference between our as adjusted net tangible book value per share after giving effect to the sale of our common stock in this offering and the assumed initial public offering price of $30.43 per share. See the section titled “Dilution.”</w:t>
      </w:r>
    </w:p>
    <w:p>
      <w:pPr>
        <w:spacing w:after="0" w:line="1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different characteristics of the capital markets in Australia and the United States may negatively affect the trading prices of our CDIs and common stock, and may limit our ability to take certain actions typically performed by a U.S. company.</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ASX Listing Rules and associated Australian regulatory requirements, and we have been approved to list our common stock on Nasdaq Global Select Market as well, which will have its own listing and regulatory requirements. Such exchanges will have different trading hours, trading characteristics (including trading volume and liquidity), trading and listing rules, and investor bases (including different levels of retail and institutional participation). As a result of these differences, the trading prices of our CDIs and our common stock may not be the same, even after allowing for currency differences. Fluctuations in the price of our common stock due to circumstances unusual to the U.S. capital markets could materially and adversely affect the price of the CDIs, or vice versa. Certain events having significant negative impact specifically on the Australian capital markets may result in a decline in the trading price of our CDIs, notwithstanding that such event may not impact the trading prices of securities listed in Australia generally or to the same extent, or vice versa.</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ASX Listing Rules and associated Australian regulatory requirements may limit our ability to take certain actions typically performed by a U.S. company. For example, the ASX Listing Rules limit the amount of equity securities (which includes common stock and other securities convertible into common stock (such as options, warrants, RSUs and convertible securities), that a listed company can issue or agree to issue in any 12 month period without the approval of its stockholders to 15% of the number of shares of common stock on issue at the start of that 12 month period, unless an exception applies. Failure to obtain this approval may make it more difficult for us to issue equity securities in the future at a time and at a price that we deem appropriate. The ASX Listing Rules also require stockholder approval for the granting of options and RSUs to our directors, even when the underlying equity incentive plan has already been approved. This creates a risk that, if stockholders do not approve the grants, our directors will not receive their expected amount of equity compensation. This may make it more difficult for us to attract and retain directors, which could have a material adverse effect on our business, results of operations, financial condition and prospects.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 ASX Listing Rules prohibit us from buying back CDIs on-market at a price which is 5% or more above the volume weighted average market price of our CDIs, calculated over the last five days on which sales of CDIs were recorded before the day on which the purchase under the buy-back was made, which, as a result, may make it more difficult to repurchase our CDIs on-market. In addition, should we wish to undertake an on-market buy-back, the ASX may impose further requirements on us as if we were subject to the Corporations Act 2001 (Cth) of Australia, which may include the need to obtain stockholder approval to do so.</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Lastly, the ASX Listing Rules prohibit the issuance of equity securities by a company without stockholder approval during the three-month period after it learns that a person is making, or proposes to make, a takeover for its securities, unless an exception applies. As a result, if a hostile takeover bid is made in respect of our CDIs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the ASX Listing Rules may limit our ability to issue equity securities, either as a counter-measure to the takeover bid or to fund operations.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limitations and prohibitions under the ASX Listing Rules will cease to apply to us if we change our admission category on the ASX to a “Foreign Exempt Listing”. Any change to our admission category will be subject to the ASX Listing Rules, and we cannot guarantee that we will be able to change our admission category.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sufficient cash funds, we may cease trading on the ASX.</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not able to maintain sufficient funds to fund our activities or if ASX considers that our CDIs no longer meet the criteria for the continued quotation of our CDIs on ASX, ASX may suspend our CDIs from quotation. This would limit our liquidity and, in particular, could harm the ability of CDI holders to liquidate their position in our Company. In addition, the value of our Company could decline if we are not able to maintain our listing on ASX.</w:t>
      </w:r>
    </w:p>
    <w:p>
      <w:pPr>
        <w:spacing w:after="0" w:line="11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and Delaware law may inhibit a takeover, which could limit the price investors might be willing to pay in the future for our common stock.</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provisions of our charter documents could make it more difficult for a third party to acquire control of us, even if the change of control would be beneficial to our stockholders, including: (i) limitations on the ability of our stockholders to act by written consent or call a special meeting; (ii) establishing advance notice provisions for nominations for elections to the Board; and (iii) establishing that our Board is divided into three classes, with each class serving three-year, staggered terms. These provisions could discourage an acquisition of us or other change in control transactions, thereby negatively affecting the price that investors might be willing to pay in the future for our common stock.</w:t>
      </w:r>
    </w:p>
    <w:p>
      <w:pPr>
        <w:spacing w:after="0" w:line="1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subject to certain exceptions, that the Court of Chancery of the State of Delaware is the exclusive forum for certain stockholder litigation matters and the federal district courts of the U.S. are the exclusive forum for actions arising under the Securities Act, which could limit our stockholders’ ability to bring a claim in a judicial forum that they find more favorable for disputes with us or our directors, officers, employees or stockholders.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our Certificate of Incorporation unless we consent in writing to the selection of an alternative forum,(A) the Court of Chancery of the State of Delaware will be the exclusive forum for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DGCL or our Certificate of Incorporation or Bylaws or (4) any action or proceeding asserting a claim governed by the internal affairs doctrine, and (B) the federal district courts of the U.S. will be the exclusive forum for the resolution of any complaint asserting a cause of action under the Securities Act, including all causes of action asserted against any defendant named in such complaint. The foregoing forum selection clauses in our Certificate of Incorporation may have the effect of discouraging lawsuits against us or our directors and officers and may limit our stockholders’ ability to bring a claim in a judicial forum that they find more favorable for disputes with us or any of our directors, officers, other employees, or stockholders.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Alternatively, if a court were to find one or both of the choice of forum provisions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we have filed with the SEC that are incorporated by reference herein and therein contain “forward-looking statements” within the meaning of Section 27A of the Securities Act and Section 21E of the Exchange Act. All statements other than statements of historical facts contained in this prospectus supplement, the accompanying prospectus and the documents incorporated by reference herein and therein,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“might,” “plan,” “possible,” “potential,” “predict,” “seek,” “should,” “will,” “would,” or the negative of these words or other similar terms or expressions. These forward-looking statements include, but are not limited to, statements concerning the following:</w:t>
      </w:r>
    </w:p>
    <w:p>
      <w:pPr>
        <w:spacing w:after="0" w:line="138" w:lineRule="exact"/>
        <w:rPr>
          <w:sz w:val="20"/>
          <w:szCs w:val="20"/>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penetrate our existing member base, maintain and expand our member base, increase monetization of our member base, and leverage our core experience to expand in new use cases;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value and reputation of our brands;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increase brand awareness and customer adoption of our platform through various programs and digital and broad-scale advertising;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developments, and challenges in our industry, business and in the markets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and business plan and our ability to effectively manage our growth and meet future capital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product offerings internationally and the significance of our global opportunity;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location sharing services, tracking products and digital subscription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increase our targeted marketing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 including suppliers, manufacturers and fulfillment partners;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the success of, new monetization features, such as the introduction of advertisements in our app, and improve on existing features;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seasonal trends on our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skilled personnel, including key members of senior management;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and integrate companies and assets, including Tile and Jiobit, and to expand and diversify our operations through strategic acquisitions and partnerships;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value and opportunities for Tile;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 partnership with Hubble and successfully build a global finding network;</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future financial and operating performance, including our expectations regarding our revenue, cost of revenue, operating expenses, subscription revenue, hardware revenue, consolidated revenue, Adjusted EBITDA, operating cash flow and our ability to achieve or maintain future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 economic downturn or economic uncertainty on consumer discretionary spending and demand for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projected growth or trend analysis;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position;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price increases and the impact of past price increases on future results of operations and churn;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engagement, conversion and retention and subscriber churn;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 savings, including through reduced commissions;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common stock;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use of proceeds from offerings under this prospectus and any related prospectus supplement.</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statements reflect our current views with respect to future events and are based on assumptions and are subject to risks and uncertainties. Given these uncertainties, you should not place undue reliance on these forward-looking statements. For example, we may be unable to realize the potential benefits of the proposed partnership with Hubble because (i) if we fail to reach exclusive, definitive agreements with Hubble, our competitors could execute such agreements in lieu of or as well as us; (ii) a competitor of ours may gain access to Hubble’s technology, or develop or acquire rights to similar or better technology; (iii) our competitors may develop superior technology; (iv) we may not be successful in launching a sufficient number of satellites to provide coverage that is commercially beneficial; (v) we do not believe this technology will provide for viable consumer products until 2028, and that timeline could be materially longer; and (vi) Hubble’s technology may be unable to support our products, or a sufficiently large number of devices to make the partnership commercially beneficial. We discuss in greater detail many of these risks and uncertainties under the heading “Risk Factors” contained in this prospectus supplement and the accompanying prospectus, in any free writing prospectuses we may authorize for use in connection with a specific offering, and in our most recent Annual Report on Form 10-K, as updated, amended, or superseded by the risks and uncertainties described under similar headings in our subsequent Quarterly Reports on Form 10-Q and other filings with the SEC, which are incorporated by reference into this prospectus supplement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supplement and the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Within this prospectus supplement, we reference information and statistics regarding the industry and market within which we compete and our competitive position. We have obtained this information and statistics from various independent third-party sources, including independent industry publications, reports by market research firms and other independent sources. Some data and other information contained in this prospectus supplement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the section titled “Risk Factors” in this prospectus supplement and under similar headings in the documents incorporated by reference, including our Quarterly Report. These and other factors could cause our future performance to differ materially from our assumptions and estimates. See the section titled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$84.4 million (or approximately $82.6 million if the underwriters exercise their option to purchase additional shares of our common stock from the selling securityholders) assuming an initial public offering price of $30.43 per share of our common stock, and after deducting the estimated underwriting discount and estimated offering expenses payable by us, including the payment of the underwriting discounts and commissions applicable to the sale of shares of common stock by the selling securityholders. We will not receive any of the proceeds from the sale of our common stock in this offering by the selling securityholders identified in this prospectus supplement, but we have agreed to pay the selling securityholders for certain of their expenses in connection with this offering, including all underwriting discounts and commissions applicable to the sale of shares of common stock by the selling securityholders.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and create a public market for our common stock in the United States. We currently intend to use the net proceeds we receive from this offering for general corporate purposes, including working capital, operating expenses, and capital expenditures. We may also use a portion of the net proceeds for acquisitions or strategic investments in complementary businesses, products, services, or technologies. However, we do not currently have agreements or commitments to enter into any such acquisitions or investments. We cannot specify with certainty all of the particular uses for the net proceeds to us from this offering. We will have broad discretion over how to use the net proceeds to us from this offering. We intend to invest the net proceeds to us from the offering that are not used as described above in investment-grade, interest-bearing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or CDIs in the past, and we do not anticipate paying any cash dividends on our common stock in the foreseeable future. We currently intend to retain all available funds and any future earnings to fund the development and expansion of our business. Subject to such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our Board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initial public offering price per share and the as adjusted net tangible book value per share of our common stock after this offering.</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2024, we had a net tangible book value of $61.3 million, or $0.88 per share. After giving effect to the sale of 3,286,231 shares of our common stock in this offering at an assumed initial public offering price of $30.43 per share, and after deducting the estimated underwriting discount and estimated offering expenses payable by us, our as adjusted net tangible book value as of March 31, 2024 would have been approximately $145.7 million, or approximately $2.00 per share. This amount represents an immediate increase in net tangible book value of approximately $1.12 per share to our existing securityholders and an immediate dilution in net tangible book value of approximately $28.43 per share to new investors purchasing shares of our common stock in this offering.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Dilution per share to new investors is determined by subtracting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20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tangible book value per share as of March 31, 2024</w:t>
            </w:r>
          </w:p>
        </w:tc>
        <w:tc>
          <w:tcPr>
            <w:tcW w:w="2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0.88</w:t>
            </w:r>
          </w:p>
        </w:tc>
        <w:tc>
          <w:tcPr>
            <w:tcW w:w="960" w:type="dxa"/>
            <w:vAlign w:val="bottom"/>
          </w:tcPr>
          <w:p>
            <w:pPr>
              <w:spacing w:after="0"/>
              <w:rPr>
                <w:sz w:val="19"/>
                <w:szCs w:val="19"/>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20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1.12</w:t>
            </w:r>
          </w:p>
        </w:tc>
        <w:tc>
          <w:tcPr>
            <w:tcW w:w="960" w:type="dxa"/>
            <w:vAlign w:val="bottom"/>
            <w:shd w:val="clear" w:color="auto" w:fill="CCEEFF"/>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2040" w:type="dxa"/>
            <w:vAlign w:val="bottom"/>
          </w:tcPr>
          <w:p>
            <w:pPr>
              <w:spacing w:after="0"/>
              <w:rPr>
                <w:sz w:val="19"/>
                <w:szCs w:val="19"/>
                <w:color w:val="auto"/>
              </w:rPr>
            </w:pPr>
          </w:p>
        </w:tc>
        <w:tc>
          <w:tcPr>
            <w:tcW w:w="1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20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dilution information discussed above is illustrative only and will change based on the actual initial public offering price and other terms of this offering determined at pricing.</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$30.43 per share, would increase (decrease) the as adjusted net tangible book value per share after this offering by approximately $0.04, and dilution in net tangible book value per share to new investors participating in this offering by approximately $0.96, assuming (i) that the number of shares of our common stock offered by us, as set forth on the cover page of this prospectus supplement, remains the same, (ii) that the number of shares outstanding immediately prior to this offering remains 69,720,407 shares (including the exercise of warrants and options to purchase shares of common stock and the issuance of shares of common stock issuable upon the conversion of outstanding convertible notes in connection with this offering), and (iii) deduction of the estimated underwriting discount and estimated offering expenses payable by us. Each increase of 1.0 million shares in the number of shares of our common stock offered by us would increase our as adjusted net tangible book value per share after this offering by approximately $0.35 per share and decrease the dilution to new investors participating in this offering by approximately $0.35 per share, assuming that the assumed initial public offering price and number of shares sold by the selling securityholders remains the same, and after deducting the estimated underwriting discount and estimated offering expenses payable by us. Similarly, each decrease of 1.0 million shares in the number of shares of our common stock offered by us would decrease our as adjusted net tangible book value per share by $0.37 per share and increase the dilution to new investors by $0.37 per share, assuming that the assumed initial public offering price and number of shares sold by the selling securityholders remains the same, and after deducting the estimated underwriting discount and estimated offering expenses payable by us.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as of March 31, 2024, on the as adjusted basis described above, the number of shares of our common stock purchased or to be purchased from us, the total consideration paid or to be paid to us, and the average price per share paid or to be paid to us by existing securityholders and new investors participating in this offering at an assumed initial public offering price of $30.43 per share, before deducting the estimated underwriting discount and estimated offering expenses payable by us. As the table below shows, new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participating in this offering will pay an average price per share substantially higher than our existing securityholders paid.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50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40" w:type="dxa"/>
            <w:vAlign w:val="bottom"/>
          </w:tcPr>
          <w:p>
            <w:pPr>
              <w:spacing w:after="0"/>
              <w:rPr>
                <w:sz w:val="16"/>
                <w:szCs w:val="16"/>
                <w:color w:val="auto"/>
              </w:rPr>
            </w:pPr>
          </w:p>
        </w:tc>
        <w:tc>
          <w:tcPr>
            <w:tcW w:w="15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50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4"/>
        </w:trPr>
        <w:tc>
          <w:tcPr>
            <w:tcW w:w="3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gridSpan w:val="6"/>
          </w:tcPr>
          <w:p>
            <w:pPr>
              <w:jc w:val="center"/>
              <w:ind w:left="448"/>
              <w:spacing w:after="0"/>
              <w:rPr>
                <w:sz w:val="20"/>
                <w:szCs w:val="20"/>
                <w:color w:val="auto"/>
              </w:rPr>
            </w:pPr>
            <w:r>
              <w:rPr>
                <w:rFonts w:ascii="Times New Roman" w:cs="Times New Roman" w:eastAsia="Times New Roman" w:hAnsi="Times New Roman"/>
                <w:sz w:val="14"/>
                <w:szCs w:val="14"/>
                <w:color w:val="auto"/>
              </w:rPr>
              <w:t>(in thousands, except percentages and per share prices)</w:t>
            </w: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stockholders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69,720</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95.5 %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$535,805</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84.3 %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New investors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15.7 %</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$635,805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in full, our existing securityholders would own 90.9%, and the investors purchasing shares of our common stock in this offering would own 9.1% of the total number of shares of our common stock outstanding immediately after the closing of this offering.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 69,720,407 shares of our common stock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excludes:</w:t>
      </w:r>
    </w:p>
    <w:p>
      <w:pPr>
        <w:spacing w:after="0" w:line="153" w:lineRule="exact"/>
        <w:rPr>
          <w:sz w:val="20"/>
          <w:szCs w:val="20"/>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6,186,944 shares of our common stock issuable upon the exercise of options to purchase shares of our common stock outstanding as of March 31, 2024, with a weighted-average exercise price of $6.26 per share (including 89,502 shares of our common stock that were issued upon the exercise of options to purchase shares of our common stock between March 31, 2024 and May 21, 2024 and excluding options that are assumed to be exercised prior to the closing of this offering discussed in detail below);</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5,408,458 shares of our common stock issuable upon settlement of RSUs outstanding as of March 31, 2024;</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933,356 shares of our common stock issuable upon settlement of RSUs that were granted after March 31, 2024;</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7,761 shares of our common stock issuable upon the exercise of warrants outstanding as of March 31, 2024, with an exercise price of $6.44 per share (which expire on September 4, 2025) (excluding warrants that are assumed to be exercised prior to the closing of this offering discussed in detail below);</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88,212 shares of our common stock issuable upon the exercise of warrants outstanding as of March 31, 2024, with an exercise price of $11.96 per share (which expire on July 1, 2026) (excluding warrants that are assumed to be exercised prior to the closing of this offering discussed in detail below);</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325,981 shares of our common stock issuable upon the conversion of outstanding convertible notes as of March 31, 2024 (including 157,685 shares of our common stock that were issued upon the conversion of the September 2021 Convertible Notes (as defined below) in April 2024 and excluding notes that are assumed to be converted prior to the closing of this offering discussed in detail below);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13,816,316 shares of our common stock reserved for future issuance under our 2011 Equity Incentive Plan as of March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assumes:</w:t>
      </w:r>
    </w:p>
    <w:p>
      <w:pPr>
        <w:spacing w:after="0" w:line="171" w:lineRule="exact"/>
        <w:rPr>
          <w:sz w:val="20"/>
          <w:szCs w:val="20"/>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exercise of warrants to purchase shares of our common stock outstanding as of March 31, 2024, which will result in the issuance of 88,212 shares of common stock in connection with this offering;</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exercise of options to purchase shares of our common stock outstanding as of March 31, 2024, which will result in the issuance of 7,941 shares of common stock in connection with this offering;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184,192 shares of our common stock issuable upon the conversion of outstanding convertible notes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any additional outstanding options or warrants are exercised or outstanding RSUs settle, there will be further dilution to new investors. If all of such outstanding options and warrants had been exercised and RSUs had settled as of March 31, 2024, the as adjusted net tangible book value per share after this offering would be $1.77, and total dilution per share to new investors would be $28.66, assuming an initial public offering price of $30.43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AND SELLING SECURITYHOLDERS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(including shares underlying all issued and outstanding CDIs) as of May 21, 2024 by:</w:t>
      </w:r>
    </w:p>
    <w:p>
      <w:pPr>
        <w:spacing w:after="0" w:line="10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to our knowledge, owns more than 5%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securityholders.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Shares of our common stock subject to options, warrants, or other rights currently exercisable, or exercisable within 60 days of May 21, 2024, are deemed to be beneficially owned and outstanding for computing the share ownership and percentage of the person holding such options, warrants or other rights, but are not deemed outstanding for computing the percentage of any other person. As of May 21, 2024, we had 69,687,249 shares of our common stock issued and outstanding, including all shares of our common stock underlying issued and outstanding CDIs. Applicable percentage ownership after this offering is based on 73,006,638 shares outstanding immediately after the closing of this offering, which assumes (i) the assumed cash exercise of warrants underlying 88,212 shares of common stock in connection with this offering, (ii) the exercise of options to purchase 7,941 shares of our common stock in connection with this offering, and (iii) the issuance of 184,192 shares of common stock pursuant to the conversion of convertible notes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the address for each beneficial owner is c/o Life360, Inc., 1900 S. Norfolk Street, Suite 310, San Mateo, California 94107.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Shares Beneficially Owned Prior to this</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of our</w:t>
            </w:r>
          </w:p>
        </w:tc>
        <w:tc>
          <w:tcPr>
            <w:tcW w:w="304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 Beneficially Owned Following this</w:t>
            </w:r>
          </w:p>
        </w:tc>
        <w:tc>
          <w:tcPr>
            <w:tcW w:w="0" w:type="dxa"/>
            <w:vAlign w:val="bottom"/>
          </w:tcPr>
          <w:p>
            <w:pPr>
              <w:spacing w:after="0"/>
              <w:rPr>
                <w:sz w:val="1"/>
                <w:szCs w:val="1"/>
                <w:color w:val="auto"/>
              </w:rPr>
            </w:pPr>
          </w:p>
        </w:tc>
      </w:tr>
      <w:tr>
        <w:trPr>
          <w:trHeight w:val="95"/>
        </w:trPr>
        <w:tc>
          <w:tcPr>
            <w:tcW w:w="3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gridSpan w:val="3"/>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300" w:type="dxa"/>
            <w:vAlign w:val="bottom"/>
          </w:tcPr>
          <w:p>
            <w:pPr>
              <w:jc w:val="right"/>
              <w:ind w:right="1093"/>
              <w:spacing w:after="0" w:line="95" w:lineRule="exact"/>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740" w:type="dxa"/>
            <w:vAlign w:val="bottom"/>
            <w:gridSpan w:val="3"/>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300" w:type="dxa"/>
            <w:vAlign w:val="bottom"/>
          </w:tcPr>
          <w:p>
            <w:pPr>
              <w:jc w:val="right"/>
              <w:ind w:right="1113"/>
              <w:spacing w:after="0" w:line="95" w:lineRule="exact"/>
              <w:rPr>
                <w:sz w:val="20"/>
                <w:szCs w:val="20"/>
                <w:color w:val="auto"/>
              </w:rPr>
            </w:pPr>
            <w:r>
              <w:rPr>
                <w:rFonts w:ascii="Times New Roman" w:cs="Times New Roman" w:eastAsia="Times New Roman" w:hAnsi="Times New Roman"/>
                <w:sz w:val="9"/>
                <w:szCs w:val="9"/>
                <w:b w:val="1"/>
                <w:bCs w:val="1"/>
                <w:color w:val="auto"/>
                <w:w w:val="75"/>
              </w:rPr>
              <w:t>(1)</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tcBorders>
              <w:bottom w:val="single" w:sz="8" w:color="auto"/>
            </w:tcBorders>
            <w:gridSpan w:val="3"/>
            <w:vMerge w:val="continue"/>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tcPr>
          <w:p>
            <w:pPr>
              <w:jc w:val="center"/>
              <w:ind w:right="80"/>
              <w:spacing w:after="0" w:line="102" w:lineRule="exact"/>
              <w:rPr>
                <w:sz w:val="20"/>
                <w:szCs w:val="20"/>
                <w:color w:val="auto"/>
              </w:rPr>
            </w:pPr>
            <w:r>
              <w:rPr>
                <w:rFonts w:ascii="Times New Roman" w:cs="Times New Roman" w:eastAsia="Times New Roman" w:hAnsi="Times New Roman"/>
                <w:sz w:val="11"/>
                <w:szCs w:val="11"/>
                <w:b w:val="1"/>
                <w:bCs w:val="1"/>
                <w:color w:val="auto"/>
              </w:rPr>
              <w:t>Common Stock Being</w:t>
            </w:r>
          </w:p>
        </w:tc>
        <w:tc>
          <w:tcPr>
            <w:tcW w:w="1740" w:type="dxa"/>
            <w:vAlign w:val="bottom"/>
            <w:tcBorders>
              <w:bottom w:val="single" w:sz="8" w:color="auto"/>
            </w:tcBorders>
            <w:gridSpan w:val="3"/>
            <w:vMerge w:val="continue"/>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7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7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350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Directors, named executive officers and 5%</w:t>
            </w:r>
          </w:p>
        </w:tc>
        <w:tc>
          <w:tcPr>
            <w:tcW w:w="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 Hulls</w:t>
            </w:r>
            <w:r>
              <w:rPr>
                <w:rFonts w:ascii="Times New Roman" w:cs="Times New Roman" w:eastAsia="Times New Roman" w:hAnsi="Times New Roman"/>
                <w:sz w:val="23"/>
                <w:szCs w:val="23"/>
                <w:color w:val="auto"/>
                <w:vertAlign w:val="superscript"/>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4,134,729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324,283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3,786,656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Russell Burke</w:t>
            </w:r>
            <w:r>
              <w:rPr>
                <w:rFonts w:ascii="Times New Roman" w:cs="Times New Roman" w:eastAsia="Times New Roman" w:hAnsi="Times New Roman"/>
                <w:sz w:val="23"/>
                <w:szCs w:val="23"/>
                <w:color w:val="auto"/>
                <w:vertAlign w:val="superscript"/>
              </w:rPr>
              <w:t>(3)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Lauren Antonoff</w:t>
            </w:r>
            <w:r>
              <w:rPr>
                <w:rFonts w:ascii="Times New Roman" w:cs="Times New Roman" w:eastAsia="Times New Roman" w:hAnsi="Times New Roman"/>
                <w:sz w:val="23"/>
                <w:szCs w:val="23"/>
                <w:color w:val="auto"/>
                <w:vertAlign w:val="superscript"/>
              </w:rPr>
              <w:t>(4)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Susan Stick</w:t>
            </w:r>
            <w:r>
              <w:rPr>
                <w:rFonts w:ascii="Times New Roman" w:cs="Times New Roman" w:eastAsia="Times New Roman" w:hAnsi="Times New Roman"/>
                <w:sz w:val="23"/>
                <w:szCs w:val="23"/>
                <w:color w:val="auto"/>
                <w:vertAlign w:val="superscript"/>
              </w:rPr>
              <w:t>(5)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David Rice</w:t>
            </w:r>
            <w:r>
              <w:rPr>
                <w:rFonts w:ascii="Times New Roman" w:cs="Times New Roman" w:eastAsia="Times New Roman" w:hAnsi="Times New Roman"/>
                <w:sz w:val="23"/>
                <w:szCs w:val="23"/>
                <w:color w:val="auto"/>
                <w:vertAlign w:val="superscript"/>
              </w:rPr>
              <w:t>(6)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Philip Coghlan</w:t>
            </w:r>
            <w:r>
              <w:rPr>
                <w:rFonts w:ascii="Times New Roman" w:cs="Times New Roman" w:eastAsia="Times New Roman" w:hAnsi="Times New Roman"/>
                <w:sz w:val="23"/>
                <w:szCs w:val="23"/>
                <w:color w:val="auto"/>
                <w:vertAlign w:val="superscript"/>
              </w:rPr>
              <w:t>(7)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Mark Goines</w:t>
            </w:r>
            <w:r>
              <w:rPr>
                <w:rFonts w:ascii="Times New Roman" w:cs="Times New Roman" w:eastAsia="Times New Roman" w:hAnsi="Times New Roman"/>
                <w:sz w:val="23"/>
                <w:szCs w:val="23"/>
                <w:color w:val="auto"/>
                <w:vertAlign w:val="superscript"/>
              </w:rPr>
              <w:t>(8)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Alex Haro</w:t>
            </w:r>
            <w:r>
              <w:rPr>
                <w:rFonts w:ascii="Times New Roman" w:cs="Times New Roman" w:eastAsia="Times New Roman" w:hAnsi="Times New Roman"/>
                <w:sz w:val="23"/>
                <w:szCs w:val="23"/>
                <w:color w:val="auto"/>
                <w:vertAlign w:val="superscript"/>
              </w:rPr>
              <w:t>(9)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1,032,390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Brit Morin</w:t>
            </w:r>
            <w:r>
              <w:rPr>
                <w:rFonts w:ascii="Times New Roman" w:cs="Times New Roman" w:eastAsia="Times New Roman" w:hAnsi="Times New Roman"/>
                <w:sz w:val="23"/>
                <w:szCs w:val="23"/>
                <w:color w:val="auto"/>
                <w:vertAlign w:val="superscript"/>
              </w:rPr>
              <w:t>(10)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Charles (CJ) Prober</w:t>
            </w:r>
            <w:r>
              <w:rPr>
                <w:rFonts w:ascii="Times New Roman" w:cs="Times New Roman" w:eastAsia="Times New Roman" w:hAnsi="Times New Roman"/>
                <w:sz w:val="23"/>
                <w:szCs w:val="23"/>
                <w:color w:val="auto"/>
                <w:vertAlign w:val="superscript"/>
              </w:rPr>
              <w:t>(11)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Synge</w:t>
            </w:r>
            <w:r>
              <w:rPr>
                <w:rFonts w:ascii="Times New Roman" w:cs="Times New Roman" w:eastAsia="Times New Roman" w:hAnsi="Times New Roman"/>
                <w:sz w:val="23"/>
                <w:szCs w:val="23"/>
                <w:color w:val="auto"/>
                <w:vertAlign w:val="superscript"/>
              </w:rPr>
              <w:t>(12)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David Wiadrowski</w:t>
            </w:r>
            <w:r>
              <w:rPr>
                <w:rFonts w:ascii="Times New Roman" w:cs="Times New Roman" w:eastAsia="Times New Roman" w:hAnsi="Times New Roman"/>
                <w:sz w:val="23"/>
                <w:szCs w:val="23"/>
                <w:color w:val="auto"/>
                <w:vertAlign w:val="superscript"/>
              </w:rPr>
              <w:t>(13)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Randi Zuckerberg</w:t>
            </w:r>
            <w:r>
              <w:rPr>
                <w:rFonts w:ascii="Times New Roman" w:cs="Times New Roman" w:eastAsia="Times New Roman" w:hAnsi="Times New Roman"/>
                <w:sz w:val="23"/>
                <w:szCs w:val="23"/>
                <w:color w:val="auto"/>
                <w:vertAlign w:val="superscript"/>
              </w:rPr>
              <w:t>(14)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(13 individuals)</w:t>
            </w:r>
            <w:r>
              <w:rPr>
                <w:rFonts w:ascii="Times New Roman" w:cs="Times New Roman" w:eastAsia="Times New Roman" w:hAnsi="Times New Roman"/>
                <w:sz w:val="23"/>
                <w:szCs w:val="23"/>
                <w:color w:val="auto"/>
                <w:vertAlign w:val="superscript"/>
              </w:rPr>
              <w:t>(15)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10,531,781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2,031,721</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8,400,824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selling securityholders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ICCA Labs, LLC</w:t>
            </w:r>
            <w:r>
              <w:rPr>
                <w:rFonts w:ascii="Times New Roman" w:cs="Times New Roman" w:eastAsia="Times New Roman" w:hAnsi="Times New Roman"/>
                <w:sz w:val="23"/>
                <w:szCs w:val="23"/>
                <w:color w:val="auto"/>
                <w:vertAlign w:val="superscript"/>
              </w:rPr>
              <w:t>(16)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Heads of human resources and marketing</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departments</w:t>
            </w:r>
            <w:r>
              <w:rPr>
                <w:rFonts w:ascii="Times New Roman" w:cs="Times New Roman" w:eastAsia="Times New Roman" w:hAnsi="Times New Roman"/>
                <w:sz w:val="23"/>
                <w:szCs w:val="23"/>
                <w:color w:val="auto"/>
                <w:vertAlign w:val="superscript"/>
              </w:rPr>
              <w:t>(17)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Heads of engineering departments</w:t>
            </w:r>
            <w:r>
              <w:rPr>
                <w:rFonts w:ascii="Times New Roman" w:cs="Times New Roman" w:eastAsia="Times New Roman" w:hAnsi="Times New Roman"/>
                <w:sz w:val="23"/>
                <w:szCs w:val="23"/>
                <w:color w:val="auto"/>
                <w:vertAlign w:val="superscript"/>
              </w:rPr>
              <w:t>(17)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and noteholders</w:t>
            </w:r>
            <w:r>
              <w:rPr>
                <w:rFonts w:ascii="Times New Roman" w:cs="Times New Roman" w:eastAsia="Times New Roman" w:hAnsi="Times New Roman"/>
                <w:sz w:val="23"/>
                <w:szCs w:val="23"/>
                <w:color w:val="auto"/>
                <w:vertAlign w:val="superscript"/>
              </w:rPr>
              <w:t>(18)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365,695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290,382</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ownership of less than 1%.</w:t>
      </w:r>
    </w:p>
    <w:p>
      <w:pPr>
        <w:spacing w:after="0" w:line="11"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common stock underlying issued and outstanding CDIs.</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58"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951,032 shares of common stock held directly by Mr. Hulls; (ii) 1,171,291 shares of our common stock underlying 3,513,874 CDIs held directly by Mr. Hulls; (iii) 29,960 shares of our common stock underlying 89,880 CDIs held indirectly through ICCA Labs, LLC (“ICCA”); (iv) 1,970,027 shares underlying options to purchase common stock that are exercisable within 60 days of May 21, 2024; (v) 7,451 shares underlying RSUs that were vested as of, and will be issued within 60 days of, May 21, 2024; and (vi) 4,968 shares underlying RSUs that vest but will not be issued within 60 days of May 21, 2024 for administrative reasons. Mr. Hulls is a member of ICCA Labs, LLC and the number of shares reported herein represents his proportionate ownership interest in ICCA Labs, LLC. 408,389 shares of our common stock are being offered by Mr. Hulls and 23,790 shares of our common stock beneficially held by Mr. Hulls are being offered by ICCA.</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49,178 shares of our common stock held directly by Mr. Burke; (ii) 588,620 shares underlying options to purchase common stock that are exercisable within 60 days of May 21, 2024; (iii) 16,244 shares underlying RSUs that were vested as of, and will be issued within 60 days of, May 21, 2024; and (iv) 10,347 shares underlying RSUs that vest but will not be issued within 60 days of May 21, 2024 for administrative reasons.</w:t>
      </w:r>
    </w:p>
    <w:p>
      <w:pPr>
        <w:spacing w:after="0" w:line="1"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120,515 shares underlying RSUs that were vested as of, and will be issued within 60 days of, May 21, 2024; and (ii) 21,373 shares underlying RSUs that vest but will not be issued within 60 days of May 21, 2024 for administrative reasons.</w:t>
      </w: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566 shares underlying RSUs that vest but will not be issued within 60 days of May 21, 2024 for administrative reasons.</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8,393 shares of common stock held directly by Mr. Rice; (ii) 217,570 shares of our common stock underlying 652,710 CDIs held directly by Mr. Rice; (iii) 492,424 shares underlying options to purchase common stock that are exercisable within 60 days of May 21, 2024; (iv) 8,394 shares underlying RSUs that were vested as of, and will be issued within 60 days of, May 21, 2024; and (v) 5,596 shares underlying RSUs that vest but will not be issued within 60 days of May 21, 2024 for administrative reasons.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76,911 shares of our common stock held directly by Mr. Coghlan; (ii) 34,893 shares of our common stock held indirectly through the John Coghlan Living Trust; (iii) 265,004 shares underlying options to purchase common stock that are exercisable within 60 days of May 21, 2024; and (iv) 2,917 shares underlying RSUs that were vested as of, and will be issued within 60 days of, May 21, 2024.</w:t>
      </w:r>
    </w:p>
    <w:p>
      <w:pPr>
        <w:spacing w:after="0" w:line="1" w:lineRule="exact"/>
        <w:rPr>
          <w:rFonts w:ascii="Times New Roman" w:cs="Times New Roman" w:eastAsia="Times New Roman" w:hAnsi="Times New Roman"/>
          <w:sz w:val="14"/>
          <w:szCs w:val="14"/>
          <w:color w:val="auto"/>
        </w:rPr>
      </w:pPr>
    </w:p>
    <w:p>
      <w:pPr>
        <w:ind w:left="340" w:right="20" w:hanging="332"/>
        <w:spacing w:after="0" w:line="278"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60,116 shares of our common stock held directly by Mr. Goines; (ii) 187,589 shares of our common stock underlying 562,767 CDIs held indirectly through the Goines Wong Living Trust; (iii) 34,045 shares underlying options to purchase common stock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20"/>
        <w:spacing w:after="0" w:line="271" w:lineRule="auto"/>
        <w:rPr>
          <w:sz w:val="20"/>
          <w:szCs w:val="20"/>
          <w:color w:val="auto"/>
        </w:rPr>
      </w:pPr>
      <w:r>
        <w:rPr>
          <w:rFonts w:ascii="Times New Roman" w:cs="Times New Roman" w:eastAsia="Times New Roman" w:hAnsi="Times New Roman"/>
          <w:sz w:val="14"/>
          <w:szCs w:val="14"/>
          <w:color w:val="auto"/>
        </w:rPr>
        <w:t>are exercisable within 60 days of May 21, 2024; and (iv) 2,405 shares underlying RSUs that were vested as of, and will be issued within 60 days of, May 21, 2024. 76,000 shares of our common stock are being offered by the Goines Wong Living Trust.</w:t>
      </w:r>
    </w:p>
    <w:p>
      <w:pPr>
        <w:jc w:val="both"/>
        <w:ind w:left="340" w:hanging="332"/>
        <w:spacing w:after="0" w:line="25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2,170,573 shares of our common stock held directly by Mr. Haro; (ii) 30,635 shares of our common stock underlying 91,905 CDIs held indirectly through ICCA Labs, LLC; (iii) 407,837 shares underlying options to purchase common stock that are exercisable within 60 days of May 21, 2024; and (iv) 2,273 shares underlying RSUs that were vested as of, and</w:t>
      </w:r>
    </w:p>
    <w:p>
      <w:pPr>
        <w:spacing w:after="0" w:line="1"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4"/>
          <w:szCs w:val="14"/>
          <w:color w:val="auto"/>
        </w:rPr>
        <w:t>will be issued within 60 days of, May 21, 2024. Mr. Haro is a member of ICCA and the number of shares reported herein represents his proportionate ownership interest in ICCA. 1,300,149 shares of our common stock are being offered by Mr. Haro and 24,326 shares of our common stock beneficially held by Mr. Haro are being offered by ICCA.</w:t>
      </w:r>
    </w:p>
    <w:p>
      <w:pPr>
        <w:spacing w:after="0" w:line="1" w:lineRule="exact"/>
        <w:rPr>
          <w:sz w:val="20"/>
          <w:szCs w:val="20"/>
          <w:color w:val="auto"/>
        </w:rPr>
      </w:pPr>
    </w:p>
    <w:p>
      <w:pPr>
        <w:ind w:left="340" w:hanging="332"/>
        <w:spacing w:after="0" w:line="254"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24,738 shares of our common stock held directly by Ms. Morin; (ii) 127,031 shares underlying options to purchase common stock that are exercisable within 60 days of May 21, 2024; and (iii) that were vested as of, and will be issued within 60 days of, May 21, 2024.</w:t>
      </w:r>
    </w:p>
    <w:p>
      <w:pPr>
        <w:ind w:left="340" w:hanging="332"/>
        <w:spacing w:after="0" w:line="259" w:lineRule="auto"/>
        <w:tabs>
          <w:tab w:leader="none" w:pos="33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311 shares of our common stock held directly by Mr. Prober; (ii) 481,992 shares of our common stock underlying 1,445,976 CDIs held directly by Mr. Prober; and (iii) 130,923 shares underlying options to purchase common stock that are exercisable within 60 days of May 21, 2024.</w:t>
      </w:r>
    </w:p>
    <w:p>
      <w:pPr>
        <w:jc w:val="both"/>
        <w:ind w:left="340" w:hanging="332"/>
        <w:spacing w:after="0" w:line="258"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28,599 shares of our common stock held directly by Mr. Synge; (ii) 480,347 shares of our common stock underlying 1,441,041 CDIs held directly by Mr. Synge; (iii) 64,379 shares of our common stock underlying 193,137 CDIs held indirectly through ICCA Labs, LLC (the “ICCA Shares”). Mr. Synge has shared investment control held over Carthona Capital FS Pty Ltd. (“Carthona Capital”). Carthona Capital is a member of ICCA. The ICCA Shares reported as beneficially owned by Mr. Synge represent Carthona Capital’s proportionate ownership interest in ICCA. Mr. Synge disclaims beneficial ownership of these ICCA Shares except to the extent of his pecuniary interest therein; (iv) 70,573 shares of common stock underlying 211,720 CDIs held indirectly through Stynge Pty Ltd ATF Sandy Bay Trust; (v) 33,972 shares underlying options to purchase common stock that are exercisable within 60 days of May 21, 2024; and (vi) 2,377 shares underlying RSUs that were vested as of, and will be issued within 60 days of, May 21, 2024. 240,174 shares of our common stock are being offered by Mr. Synge and 51,120 shares of our common stock beneficially held by Mr. Synge are being offered by ICCA.</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32,408 shares of our common stock held directly by Mr. Wiadrowski; (ii) 8,256 shares of our common stock underlying 24,768 CDIs held directly by Mr. Wiadrowski; (iii) 37,361 shares underlying options to purchase common stock that are exercisable within 60 days of May 21, 2024; and (iv) 2,557 shares underlying RSUs that were vested as of, and will be issued within 60 days of May 21, 2024.</w:t>
      </w:r>
    </w:p>
    <w:p>
      <w:pPr>
        <w:spacing w:after="0" w:line="1" w:lineRule="exact"/>
        <w:rPr>
          <w:rFonts w:ascii="Times New Roman" w:cs="Times New Roman" w:eastAsia="Times New Roman" w:hAnsi="Times New Roman"/>
          <w:sz w:val="14"/>
          <w:szCs w:val="14"/>
          <w:color w:val="auto"/>
        </w:rPr>
      </w:pPr>
    </w:p>
    <w:p>
      <w:pPr>
        <w:ind w:left="340" w:hanging="332"/>
        <w:spacing w:after="0" w:line="261"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14,194 shares of our common stock held directly by Ms. Zuckerberg; (ii) 37,870 shares underlying options to purchase common stock that are exercisable within 60 days of May 21, 2024; and (iii) 2,377 shares underlying RSUs that were vested as of, and will be issued within 60 days of May 21, 2024.</w:t>
      </w:r>
    </w:p>
    <w:p>
      <w:pPr>
        <w:jc w:val="both"/>
        <w:ind w:left="340" w:hanging="332"/>
        <w:spacing w:after="0" w:line="254"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3,451,346 shares of our common stock; (ii) 2,742,592 shares of our common stock underlying 8,227,778 CDIs; (iii) 4,125,114 shares underlying options to purchase common stock that are exercisable within 60 days of May 21, 2024; (iv) 49,364 shares underlying RSUs that were vested as of, and will be issued within 60 days of May 21, 2024; and (v) 20,911 shares underlying RSUs that vest but will not be issued within 60 days of May 21, 2024 for administrative reasons held by our executive officers and directors as a group.</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124,974 shares of our common stock held of record by ICCA beneficially held by each of Mr. Hulls, Mr. Haro and Mr. Synge listed in footnotes 2, 9, and 12 above; and (ii) 8,434 shares of our common stock held of record by ICCA beneficially held by Itamar Novick. Messrs. Hulls, Haro and Novick and Carthona Capital are members of ICCA and have shared, proportionate investment and voting control over the shares held by ICCA. 23,790, 24,326, 51,120 and 6,697 shares of our common stock beneficially held by Messrs. Hull, Haro, Synge and Novick, respectively, are being offered by ICCA.</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selling stockholders not otherwise listed in this table who within the groups indicated collectively beneficially own less than 1% of our common stock.</w:t>
      </w:r>
    </w:p>
    <w:p>
      <w:pPr>
        <w:spacing w:after="0" w:line="14" w:lineRule="exact"/>
        <w:rPr>
          <w:rFonts w:ascii="Times New Roman" w:cs="Times New Roman" w:eastAsia="Times New Roman" w:hAnsi="Times New Roman"/>
          <w:sz w:val="14"/>
          <w:szCs w:val="14"/>
          <w:color w:val="auto"/>
        </w:rPr>
      </w:pPr>
    </w:p>
    <w:p>
      <w:pPr>
        <w:ind w:left="340" w:hanging="332"/>
        <w:spacing w:after="0" w:line="283"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selling stockholders not otherwise listed in this table who collectively own less than 1% of our common stock. Includes the number of shares that such selling stockholders have the right to acquire pursuant to the exercise of warrants and conversion of convertible notes that will result in shares of our common stock to be issued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rights of our capital stock and some of the provisions of our Certificate of Incorporation and Bylaws, including certain provisions that will become effective in connection with this offering, and relevant provisions of the DGCL. The descriptions herein are qualified in their entirety by our Certificate of Incorporation and Bylaws, as amended in connection with this offering, copies of which have been filed or are incorporated by reference as exhibits to the registration statement of which this prospectus supplement is a part, as well as the relevant provisions of the DGCL.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500,000,000 shares, all with a par value of $0.001 per share. As of March 31, 2024, we had 69,440,062 shares of our common stock outstanding, including all shares of our common stock underlying all issued and outstanding CDIs.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of common stock held on all matters submitted to a vote of stockholders, except as otherwise expressly provided in our Certificate of Incorporation or required by applicable law. Holders of our CDIs are entitled to one vote for every three CDIs they hold. Cumulative voting for the election of directors is not provided for in our Certificate of Incorporation, which means that the directors then standing for election are elected by a plurality of votes of shares of common stock cast at the election. These provisions in our Certificate of Incorporation could discourage potential takeover attempts. See “Anti-Takeover Effects of Delaware Law and Our Certificate of Incorporation and Bylaws”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prior rights that may apply to shares of our common stock outstanding at the time, the holders of outstanding shares of our common stock are entitled to receive dividends out of funds legally available at the times and in the amounts that our Board may determine. We do not anticipate paying any cash dividends in the foreseeable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Similar Rights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outstanding shares of our common stock are fully paid and non-assessable.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had outstanding options to purchase an aggregate of 6,186,944 shares of our common stock, with a weighted-average exercise price of $6.26 per share under our 2011 Equity Incentive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 outstanding awards of RSUs covering 5,408,458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 the following issued and outstanding warrants:</w:t>
      </w:r>
    </w:p>
    <w:p>
      <w:pPr>
        <w:spacing w:after="0" w:line="171" w:lineRule="exact"/>
        <w:rPr>
          <w:sz w:val="20"/>
          <w:szCs w:val="20"/>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88,212 shares of our common stock with an exercise price of $11.96 per share and a term of five years, which expire on July 1, 2026. It is expected that 88,212 warrants will be exercised prior to, and in connection with, the closing of this offering.</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7,761 shares of our common stock with an exercise price of $6.44 per share and a term of 10 years which expire on September 4, 2025. The warrant has a cashless exercise provision pursuant to which the holder, in lieu of paying the exercise price in cash, can surrender the warrant and receive a number of shares based on the (x) fair market value of such shares minus the exercise price multiplied by (y) the number of shares with respect to which the warrant is being exercised divided by (z) the fair market value of the shares. It is expected that no warrants will be exercised prior to, and in connection with, the closing of this offering.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2021, we issued convertible notes in the aggregate principal amount of $2.1 million (the “July 2021 Convertible Notes”). The outstanding principal and any accrued and unpaid interest under these notes shall, at the option of the noteholder, either automatically convert, in the event of a change of control, SPAC transaction or qualified initial public offering, into shares of our common stock at a conversion price of $11.96 per share, or be repaid in full. Prior to the date hereof, each of the noteholders elected to convert their notes into shares of our common stock, contingent upon the closing of this offering.</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2021, in connection with the acquisition of Jiobit, we issued convertible notes representing an aggregate fair value of $11.6 million (the “September 2021 Convertible Notes”). These notes were convertible into shares of our common stock at any time subsequent to the acquisition of Jiobit at a fixed conversion price of $22.50 per share. Pursuant to the terms of the notes, we repaid one third of the unconverted principal balance plus accrued interest to the holders of such notes, at a fixed conversion price of $22.50 per share, on each of the first and second anniversaries of the issuance date. As of March 31, 2024, there was an aggregate principal amount of $3.4 million outstanding. In April 2024, the holders elected to convert their September 2021 Convertible Notes and accrued interest to common stock based on the fixed conversion price of $22.50 per share.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CHESS Depositary Interests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our common stock are traded on the ASX in the form of CDIs, under the symbol “360.” Shares of our common stock are not traded on the ASX because ASX’s electronic settlement system, known as CHESS, cannot be used for the transfer of securities of issuers incorporated in certain countries, including the United States. CDIs have been created to facilitate electronic settlement and transfer in Australia for companies in this situation. Legal title to the shares of our common stock underlying the CDIs is held by an Australian depositary nominee, CDN.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CDIs are units of beneficial ownership in shares of our common stock. Each CDI represents a beneficial interest in one-third of a share of our common stock. The CDI holders receive all direct economic and other benefits of shares of our common stock on a 3-for-1 basis. The CDIs may be transmuted into shares of our common stock on a 3-for-1 basis at the election of the CDI holder.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differences between holding CDIs and shares of our common stock. The major differences are that:</w:t>
      </w:r>
    </w:p>
    <w:p>
      <w:pPr>
        <w:spacing w:after="0" w:line="171" w:lineRule="exact"/>
        <w:rPr>
          <w:sz w:val="20"/>
          <w:szCs w:val="20"/>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holders do not have legal title in the underlying shares of our common stock to which the CDIs relate (the chain of title in the shares underlying the CDIs is summarized above);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holders are not able to vote personally as stockholders at a meeting of Life360. Instead, CDI holders are provided with a voting instruction form which will enable them to instruct the depositary nominee in relation to the exercise of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Alternatively, CDI holders can transmute their CDIs into shares of our common stock in sufficient time before the relevant meeting, in which case they will be able to vote personally as stockholders of Life360.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provisions of Delaware law, our Certificate of Incorporation, and Bylaws, including provisions that will become effective in connection with this offering,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common stock.</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the Board has approved certain amendments to the Bylaws, which include conforming changes to reflect the amendments to our Certificate of Incorporation that were approved by stockholders at our 2024 Annual Meeting of Stockholders held on May 29, 2024, as well as certain other changes that the Board believes to be in the best interests of us and our stockholders, as described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 that a special meeting of stockholders may be called only by our Board, the chairperson of our Board, the chief executive officer, or the president, and shall be called by the secretary following receipt of signed written requests to call a special meeting from the holders of at least 10% of the outstanding shares of stock of the corporation.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currently require that nominations for the election of directors by a stockholder must be received no later than 35 business days prior to the date of the annual meeting. Our Bylaws have been amended in connection with this offering to, among other things, replace this requirement and establish additional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eliminate the right of stockholders to act by written consent without a meeting, which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Vacancies; Removal of Directors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that any newly created directorship on our Board that results from an increase in the number of directors and any vacancy occurring on our Board may only be filled by a majority of the directors then in office, although less than a quorum, or by a sole remaining director (and not by the stockholders). Our Bylaws have been amended in connection with this offering to provide that no members of our Board may be removed from office by our stockholders except for cause by holders of a majority of the shares then entitled to vote at an election of directors. These provisions would prevent a stockholder from increasing the size of our Board and then gaining control of our Board by filling the resulting vacancies with its own nominees. This makes it more difficult to change the composition of our Board and promotes continuity of management.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provides for the renouncement by us of any interest or expectancy of ours in, or being offered an opportunity to participate in any matter, transaction, or interest that is presented to, or acquired, created, or developed by, or which otherwise comes into possession of, any of our directors who is not an employee or officer of us or any of our subsidiaries, unless such matter, transaction, or interest is presented to, or acquired, created, or developed by, or otherwise comes into the possession of any of our directors expressly and solely in that director’s capacity as our director.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(A) the Court of Chancery of the State of Delaware will be the exclusive forum for the following types of actions or proceedings under Delaware statutory or common law: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General Corporation Law of the State of Delaware or our Certificate of Incorporation or Bylaws or (4) any action or proceeding asserting a claim governed by the internal affairs doctrine, and (B) the federal district courts of the U.S. will be the exclusive forum for the resolution of any complaint asserting a cause of action under the Securities Act, including all causes of action asserted against any defendant named in such complaint. The exclusive forum provision does not apply to any actions brought to enforce a duty or liability created by the Securities Act, the Exchange Act or any other claim for which the U.S. federal courts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Certificate of Incorporation permits indemnification of our directors and officers to the maximum extent permitted by the DGCL, and our Bylaws will provide that we will indemnify our directors and officers to the maximum extent permitted by the DGCL.</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officer is or was a director, officer, employee or agent of ours, provided that such director or executive officer acted in good faith and in a manner that the director or executive officer reasonably believed to be in, or not opposed to, our best interest.</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indemnification provisions in our amended and restated certificate of incorporation and amended and restated bylaws that will each be in effect immediately prior to the closing of this offering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 or indemnified against certain liabilities incurred in their capacity as members of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ASX under the symbol “360” in the form of CDIs. In addition, we have been approved to list our common stock on the Nasdaq Global Select Market under the symbol “LIF”. Upon listing our common stock on the Nasdaq Global Select Market, we intend to apply to ASX to convert our listing on ASX to an ASX Foreign Exempt Listing.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including shares underlying all issued and outstanding CDIs, is Computershare Trust Company, N.A. The transfer agent and registrar’s address is 250 Royall Street, Canton, MA 02021, and its telephone number is (866) 595-6048.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 COMMON STOCK</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consequences to non-U.S. holders (as defined below) of the ownership and disposition of our common stock offered pursuant to this prospectus supplement. This discussion is not a complete analysis of all potential U.S. federal income tax consequences relating thereto, does not address the potential application of the Medicare contribution tax on net investment income, the alternative minimum tax provisions of the Code, or special tax accounting rules under Section 451(b) of the Code, and does not address any estate or gift tax consequences or any tax consequences arising under any state, local, or non-U.S. tax laws, or any other U.S. federal tax laws. This discussion is based on the Code and applicable Treasury Regulations promulgated thereunder, published rulings, and administrative pronouncements of the IRS, and judicial decisions,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4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discussion is limited to non-U.S. holders who purchase our common stock offered by this prospectus supplement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2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pass-throughs, or disregarded entities for U.S. federal income tax purposes (and investors therein);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investment funds, insurance companies, brokers, dealers, or traders in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governmental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hedging or conversion transaction or straddle, or a constructive sale, or other risk reduction strategy or integrated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our common stock through the exercise of an employee option or otherwise as compensation;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organized outside of the United States, any state thereof and the District of Columbia that are nonetheless treated as U.S. taxpayers for U.S. federal income tax purposes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our common stock, the U.S. federal income tax treatment of a partner in the partnership generally will depend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OTHER U.S. FEDERAL TAX LAWS.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2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entity treated as a corporation for U.S. federal income tax purposes) created or organized under the laws of the United States,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the section titled “Dividend Policy,” we have not paid and do not anticipate paying dividends in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common stock, but not below zero. Any amount distributed in excess of basis will be treated as gain realized on the sale or other disposition of our common stock and will be treated as described under the section titled “—Gain on Disposition of Our Common Stock” below.</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discussions below regarding effectively connected income, backup withholding, and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an applicable successor form)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in the United States), the non-U.S. holder generally will be exempt from U.S. federal withholding tax. To claim the exemption, the non-U.S. holder generally must furnish a valid IRS Form W-8ECI (or applicable successor form) to the applicable withholding agent.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108" w:lineRule="exact"/>
        <w:rPr>
          <w:sz w:val="20"/>
          <w:szCs w:val="20"/>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as defined by applicable Treasury Regulations.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 Even if we are or were to become a USRPHC, gain arising from the sale or other taxable disposition by a non-U.S. holder of our common stock generally will not be subject to U.S. federal income tax if our common stock is “regularly traded,” as defined by applicable Treasury Regulations, on an established securities market.</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 reports are required to be filed with the IRS and provided to each non-U.S. holder indicating the amount of distributions on our common stock paid to such holder and the amount of any tax withheld with respect to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on Foreign Entities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dividends paid on our common stock and, subject to the proposed Treasury Regulations described below, also applies to gross proceeds from sales or other dispositions of our common stock. The U.S. Treasury Department released proposed Treasury Regulations which, if finalized in their present form, would eliminate the federal withholding tax of 30% applicable to the gross proceeds of a disposition of our common stock. In its preamble to such proposed Treasury Regulations, the U.S. Treasury Department stated that taxpayers generally may rely on the proposed Treasury Regulations until final regulations are issued.</w:t>
      </w:r>
    </w:p>
    <w:p>
      <w:pPr>
        <w:spacing w:after="0" w:line="1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possible implications of this legislation on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the selling securityholders and the underwriters named below have entered into an underwriting agreement with respect to the shares being offered.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conditions, each underwriter has severally agreed to purchase the number of shares indicated in the following table. Goldman Sachs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LLC, Evercore Group L.L.C. and UBS Securities LLC are the representatives of the underwriters.</w:t>
      </w:r>
    </w:p>
    <w:p>
      <w:pPr>
        <w:spacing w:after="0" w:line="187" w:lineRule="exact"/>
        <w:rPr>
          <w:sz w:val="20"/>
          <w:szCs w:val="20"/>
          <w:color w:val="auto"/>
        </w:rPr>
      </w:pPr>
    </w:p>
    <w:p>
      <w:pPr>
        <w:ind w:left="20"/>
        <w:spacing w:after="0"/>
        <w:tabs>
          <w:tab w:leader="none" w:pos="9880" w:val="left"/>
        </w:tabs>
        <w:rPr>
          <w:sz w:val="20"/>
          <w:szCs w:val="20"/>
          <w:color w:val="auto"/>
        </w:rPr>
      </w:pPr>
      <w:r>
        <w:rPr>
          <w:rFonts w:ascii="Times New Roman" w:cs="Times New Roman" w:eastAsia="Times New Roman" w:hAnsi="Times New Roman"/>
          <w:sz w:val="14"/>
          <w:szCs w:val="14"/>
          <w:b w:val="1"/>
          <w:bCs w:val="1"/>
          <w:color w:val="auto"/>
        </w:rPr>
        <w:t>Underwriters</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14605</wp:posOffset>
            </wp:positionV>
            <wp:extent cx="9944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-1905</wp:posOffset>
            </wp:positionV>
            <wp:extent cx="9944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22860</wp:posOffset>
            </wp:positionV>
            <wp:extent cx="9944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underwriters have an option to buy up to an additional 862,500 shares from the selling securityholders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and proceeds before expenses to us and the selling securityholders. Such amounts are shown assuming both no exercise and full exercise of the underwriters’ option to purchase 862,500 additional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240" w:type="dxa"/>
            <w:vAlign w:val="bottom"/>
          </w:tcPr>
          <w:p>
            <w:pPr>
              <w:spacing w:after="0"/>
              <w:rPr>
                <w:sz w:val="16"/>
                <w:szCs w:val="16"/>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3"/>
        </w:trPr>
        <w:tc>
          <w:tcPr>
            <w:tcW w:w="8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Underwriting discounts and commissions to be paid by us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8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before expenses, to selling securityholders</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18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bl>
    <w:p>
      <w:pPr>
        <w:spacing w:after="0" w:line="41" w:lineRule="exact"/>
        <w:rPr>
          <w:sz w:val="20"/>
          <w:szCs w:val="20"/>
          <w:color w:val="auto"/>
        </w:rPr>
      </w:pPr>
    </w:p>
    <w:p>
      <w:pPr>
        <w:ind w:left="340" w:hanging="332"/>
        <w:spacing w:after="0" w:line="302"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agreed to pay the selling securityholders for certain of their expenses in connection with this offering, including all underwriting discounts and commissions applicable to the sale of shares of common stock by the selling securityholders.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of this prospectus supplement.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our officers, directors, and certain holders of our common stock, including the selling securityholders, have agreed with the underwriters, subject to certain exceptions, not to dispose of or hedge any of their common stock or securities convertible into or exchangeable for shares of common stock during the period from the date of this prospectus supplement continuing through the date 90 days after the date of this prospectus supplement, except with the prior written consent of Goldman Sachs &amp; Co. LLC.</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restrictions on our officers, directors, and certain holders of our common stock, including the selling securityholders, do not apply to, among other things, and subject in certain cases to various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as bona fide gifts, charitable contributions, or for bona fide estate planning purposes;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upon death by will, testamentary document, or the laws of intestate succession;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immediate family members or to any trust for the direct or indirect benefit of the holder or the immediate family of the holder or, if the holder is a trust, to a trustor or beneficiary of the trust or the estate of a beneficiary of such trust;</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corporation, partnership, limited liability company, or other entity of which the holder and the immediate family of the holder are the legal and beneficial owner of all of the outstanding equity securities or similar interests;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nominee or custodian of a person or entity to whom a disposition or transfer would be permissible under clauses (i) through (iv) above;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a business entity (A) to an affiliated or controlled entity or (B) as part of a distribution to the holder’s securityholders, partners, members, or other equityholders or to the estate of any such securityholders, partners, members, or other equityholders;</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operation of law, such as pursuant to a qualified domestic order, divorce settlement, divorce decree, or separation agreement;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(A) from one of our employees upon their death, disability, or termination of employment, in each case, of such employee or (B) pursuant to agreements under which we have (1) the option to repurchase such securities or (2) a right of first refusal with respect to transfers of such securities upon termination of service of the undersigned;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not an officer or director, transfers of shares acquired (A) from the underwriters in this offering or (B) in open market transactions after the closing of this offering;</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in connection with the vesting, settlement, or exercise of RSUs, restricted stock, options, warrants, or other rights to purchase shares of our common stock (including, in each case, by way of “net” or “cashless” exercise), including any transfer to us for the payment of tax withholdings or remittance payments due as a result of the vesting, settlement or exercise of such RSUs, restricted stock, options, warrants or other rights, or in connection with the conversion or exchange or convertible or exchangeable securities of us or any of our subsidiaries, and any transfer necessary to generate such amount of cash needed for the payment of taxes, including estimated taxes, due as a result of the vesting or settlement of RSUs whether by means of a “net settlement” or otherwise, in all such cases pursuant to equity awards granted under a stock incentive plan or other equity award plan or arrangement, or pursuant to the terms of convertible or exchangeable securities, as applicable, each as described in this prospectus supplement, provided that any securities received upon such vesting, settlement, exercise or conversion that are not transferred to cover any such tax obligations shall be subject to the terms of such lock-up agreement;</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sale or other transfer of shares of common stock to satisfy any tax obligations or payments due as a result of (A) the termination of employment with us, the exercise of stock options that will expire during the lock-up period or (B) the settlement of RSUs pursuant to awards granted under a stock incentive plan or other equity award plan or arrangement described in this prospectus supplement, provided that, in each case, any securities received upon such exercise or settlement that are not transferred to cover any such tax obligations shall be subject to the terms of such lock-up agreement;</w:t>
      </w:r>
    </w:p>
    <w:p>
      <w:pPr>
        <w:spacing w:after="0" w:line="129" w:lineRule="exact"/>
        <w:rPr>
          <w:rFonts w:ascii="Times New Roman" w:cs="Times New Roman" w:eastAsia="Times New Roman" w:hAnsi="Times New Roman"/>
          <w:sz w:val="18"/>
          <w:szCs w:val="18"/>
          <w:color w:val="auto"/>
        </w:rPr>
      </w:pPr>
    </w:p>
    <w:p>
      <w:pPr>
        <w:ind w:left="660" w:hanging="328"/>
        <w:spacing w:after="0" w:line="282" w:lineRule="auto"/>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termination of employment of our or our subsidiaries’ employees, including following the voluntary resignation of such employee, if the disposition of such securities is determined by us to be required under applicable law;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in connection with the conversion, exchange or reclassification of our outstanding equity securities into shares of common stock, or any reclassification, exchange or conversion of the common stock, in each case as described in this prospectus supplement, provided that any such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received upon such conversion, exchange or reclassification shall be subject to the terms of such lock-up agreement.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in the United States. The initial public offering price has been negotiated among us and the representatives. Among the factors to be considered in determining the initial public offering price of the shares, in addition to prevailing market conditions, will be the trading price of our CDIs on the ASX, our historical performance, estimates of the business potential and our earnings prospects, an assessment of our management and the consideration of the above factors in relation to market valuation of companies in related businesses.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approved to list the common stock on the Nasdaq Global Select Market under the symbol "LIF".</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actions, which involve the purchase and sale of shares of common stock in the open market. These stabilizing 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may take place in relation to the offering, as well as other purchases by the underwriters for their own accounts, and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NYSE, Nasdaq or relevant exchange, in the over-the-counter market or otherwise.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$3.3 million. We have also agreed to reimburse the underwriters for certain of their expenses in an amount up to $40,000.</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the selling securityholders have agreed to indemnify the several underwriters against certain liabilities, including liabilities under the Securities Act.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Goldman Sachs &amp; Co. LLC is providing financial services in Australia, Goldman Sachs &amp; Co. LLC is exempt from the requirement to hold an Australian financial services license for the financial services it provides in Australia. Goldman Sachs &amp; Co. LLC is regulated by a non-Australian regulator under non-Australian laws which differ from Australian laws, specifically, Goldman Sachs &amp; Co. LLC is regulated by the US Securities and Exchange Commission under US laws.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an offer to the public of any shares may not be made in that Relevant Member State, except that an offer to the public in that Relevant Member State of any shares may be made at any time under the following exemptions under the EU Prospectus Regulation:</w:t>
      </w:r>
    </w:p>
    <w:p>
      <w:pPr>
        <w:spacing w:after="0" w:line="122"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EU Prospectus Regulation;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EU Prospectus Regulation), subject to obtaining the prior consent of the underwriters for any such offer; or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 provided that no such offer of shares shall result in a requirement for the Company or any of the underwriters to publish a prospectus pursuant to Article 3 of the Prospectus Regulation or a supplemental prospectus pursuant to Article 23 of the Prospectus Regulation and each person who initially acquires any shares or to whom any offer is made will be deemed to have represented, warranted and agreed to and with each of the underwriters and the Company that it is a qualified investor within the meaning of Article 2 of the EU Prospectus Regulation.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EU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underwriters has been obtained to each such proposed offer or resale.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Notwithstanding the above, a person who is not a "qualified investor" and who has notified the underwriters of such fact in writing may, with the prior consent of the underwriters, be permitted to acquire shares in the offer.</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Member State means the communication in any form and by any means of sufficient information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terms of the offer and any shares to be offered so as to enable an investor to decide to purchase or subscribe for any shares, and the expression "EU Prospectus Regulation" means Regulation (EU) 2017/1129.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offer to the public of any shares may not be made in the United Kingdom, except that an offer to the public in the United Kingdom of any shares may be made at any time under the following exemptions under the UK Prospectus Regulation:</w:t>
      </w:r>
    </w:p>
    <w:p>
      <w:pPr>
        <w:spacing w:after="0" w:line="108"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"FSMA"),</w:t>
      </w:r>
    </w:p>
    <w:p>
      <w:pPr>
        <w:spacing w:after="0" w:line="17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shall result in a requirement for the Company or any underwriter to publish a prospectus pursuant to section 85 of the FSMA or a supplemental prospectus pursuant to Article 23 of the UK Prospectus Regulation and each person who initially acquires any shares or to whom any offer is made will be deemed to have represented, warranted and agreed to and with each of the underwriters and the Company that it is a qualified investor within the meaning of Article 2 of the UK Prospectus Regulation.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UK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the United Kingdom to qualified investors as so defined or in circumstances in which the prior consent of the underwriters has been obtained to each such proposed offer or resale.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in the offer.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 net worth companies, and other persons to whom it may lawfully be communicated, falling within Article 49(2)(a) to (d) of the Order (all such persons falling within (1)-(3) together being referred to as “relevant persons”). The shares are only available to, and any invitation, offer or agreement to subscribe, purchase or otherwise acquire the shares will be engaged in only with, relevant persons. Any person who is not a relevant person should not act or rely on this Prospectus or any of its contents.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supplement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(the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Neither this document nor any other offering or marketing material relating to the offering, us,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(the “CISA”). The investor protection afforded to acquirers of interests in collective investment schemes under the CISA does not extend to acquirers of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Finance Centre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Brazil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 and sale of the shares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shares may only be offered to Brazilian Professional Investors (as defined by applicable CVM regulation), who may only acquire the shares through a non-Brazilian account, with settlement outside Brazil in non-Brazilian currency. The trading of these securities on regulated securities markets in Brazil in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common stock being offered in this prospectus supplement will be passed upon for us by Cooley LLP, Santa Monica, California. Certain legal matters in connection with this offering will be passed upon for the underwriters by Latham &amp; Watkins LLP, New York, New York.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financial statements of Life360, Inc. as of December 31, 2023, and for the year in the period ended December 31, 2023, incorporated by reference in this prospectus supplement, and the effectiveness of Life360,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2021 and for the years then ended incorporated by reference in this prospectus supplement have been so incorporated in reliance on the report of BDO USA, LLP (n/k/a BDO USA, P.C.), an independent registered public accounting firm, incorporated herein by reference, given on the authority of said firm as experts in auditing and accounting.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including exhibits and schedules, under the Securities Act, with respect to the shares of our common stock being offered by this prospectus supplement. This prospectus supplement, which constitutes part of the registration statement, does not contain all of the information in the registration statement and its exhibits. For further information with respect to us and the common stock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can read our SEC filings, including the registration statement, over the internet at the SEC’s website at www.sec.gov. The ASX maintains a website that contains documents required under Australian securities laws and other information regarding our filings at www.asx.com.au.</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file reports, proxy statements, and other information with the SEC. These reports, proxy statements, and other information are available for inspection and copying at the website of the SEC referred to above. We also maintain a website at www.life360.com, at which you may access these materials free of charge as soon as reasonably practicable after they are electronically filed with, or furnished to, the SEC. Information contained on, or that can be accessed through, our website is not incorporated by reference into this prospectus supplement, and you should not consider information on our website to be part of this prospectus supplement.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 (Commission File No. 000-56424):</w:t>
      </w:r>
    </w:p>
    <w:p>
      <w:pPr>
        <w:spacing w:after="0" w:line="133"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43">
        <w:r>
          <w:rPr>
            <w:rFonts w:ascii="Times New Roman" w:cs="Times New Roman" w:eastAsia="Times New Roman" w:hAnsi="Times New Roman"/>
            <w:sz w:val="18"/>
            <w:szCs w:val="18"/>
            <w:u w:val="single" w:color="auto"/>
            <w:color w:val="0000FF"/>
          </w:rPr>
          <w:t>February 29, 2024</w:t>
        </w:r>
      </w:hyperlink>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S-56</w:t>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three months ended March 31, 2024, filed with the SEC on </w:t>
      </w:r>
      <w:hyperlink r:id="rId44">
        <w:r>
          <w:rPr>
            <w:rFonts w:ascii="Times New Roman" w:cs="Times New Roman" w:eastAsia="Times New Roman" w:hAnsi="Times New Roman"/>
            <w:sz w:val="18"/>
            <w:szCs w:val="18"/>
            <w:u w:val="single" w:color="auto"/>
            <w:color w:val="0000FF"/>
          </w:rPr>
          <w:t>May 9,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45">
        <w:r>
          <w:rPr>
            <w:rFonts w:ascii="Times New Roman" w:cs="Times New Roman" w:eastAsia="Times New Roman" w:hAnsi="Times New Roman"/>
            <w:sz w:val="18"/>
            <w:szCs w:val="18"/>
            <w:u w:val="single" w:color="auto"/>
            <w:color w:val="0000FF"/>
          </w:rPr>
          <w:t xml:space="preserve">June </w:t>
        </w:r>
      </w:hyperlink>
      <w:r>
        <w:rPr>
          <w:rFonts w:ascii="Times New Roman" w:cs="Times New Roman" w:eastAsia="Times New Roman" w:hAnsi="Times New Roman"/>
          <w:sz w:val="18"/>
          <w:szCs w:val="18"/>
          <w:color w:val="auto"/>
        </w:rPr>
        <w:t xml:space="preserve">3, </w:t>
      </w:r>
      <w:hyperlink r:id="rId45">
        <w:r>
          <w:rPr>
            <w:rFonts w:ascii="Times New Roman" w:cs="Times New Roman" w:eastAsia="Times New Roman" w:hAnsi="Times New Roman"/>
            <w:sz w:val="18"/>
            <w:szCs w:val="18"/>
            <w:u w:val="single" w:color="auto"/>
            <w:color w:val="0000FF"/>
          </w:rPr>
          <w:t>2024</w:t>
        </w:r>
      </w:hyperlink>
      <w:r>
        <w:rPr>
          <w:rFonts w:ascii="Times New Roman" w:cs="Times New Roman" w:eastAsia="Times New Roman" w:hAnsi="Times New Roman"/>
          <w:sz w:val="18"/>
          <w:szCs w:val="18"/>
          <w:color w:val="auto"/>
        </w:rPr>
        <w:t>, to the extent the information in such report is filed and not furnished;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2023 from our definitive proxy statement relating to our 2024 annual meeting of securityholders, filed with the SEC on </w:t>
      </w:r>
      <w:hyperlink r:id="rId46">
        <w:r>
          <w:rPr>
            <w:rFonts w:ascii="Times New Roman" w:cs="Times New Roman" w:eastAsia="Times New Roman" w:hAnsi="Times New Roman"/>
            <w:sz w:val="18"/>
            <w:szCs w:val="18"/>
            <w:u w:val="single" w:color="auto"/>
            <w:color w:val="0000FF"/>
          </w:rPr>
          <w:t>April 16, 2024</w:t>
        </w:r>
      </w:hyperlink>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will become a part of this prospectus supplement from the date that such documents are filed with the SEC.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35"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telephoning us at the following address or phone number:</w:t>
      </w:r>
    </w:p>
    <w:p>
      <w:pPr>
        <w:spacing w:after="0" w:line="12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1900 South Norfolk Street, Suite 310</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484-5244</w:t>
      </w:r>
    </w:p>
    <w:p>
      <w:pPr>
        <w:spacing w:after="0" w:line="9" w:lineRule="exact"/>
        <w:rPr>
          <w:rFonts w:ascii="Times New Roman" w:cs="Times New Roman" w:eastAsia="Times New Roman" w:hAnsi="Times New Roman"/>
          <w:sz w:val="18"/>
          <w:szCs w:val="18"/>
          <w:color w:val="auto"/>
        </w:rPr>
      </w:pPr>
    </w:p>
    <w:p>
      <w:pPr>
        <w:ind w:left="4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Secretary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S-57</w:t>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122555</wp:posOffset>
            </wp:positionV>
            <wp:extent cx="2468880" cy="746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46888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Preferred Stock</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Debt Securities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29845</wp:posOffset>
            </wp:positionV>
            <wp:extent cx="12344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time to time, we or selling securityholders may offer and sell any of the securities described in this prospectus, either individually or in combination. We or selling securityholders may also offer common stock or preferred stock upon conversion of debt securities, common stock upon conversion of preferred stock, or common stock, preferred stock or debt securities upon the exercise of warrants. Our ability to offer and sell preferred stock is contingent upon satisfaction of certain conditions, including receiving stockholder approval, as described in the section titled “Description of Capital Stock.”</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will provide the specific terms of these offerings and securities in one or more supplements to this prospectus. We may also authorize one or more free writing prospectuses to be provided to you in connection with these offerings. In addition, in connection with certain offers and sales of securities by the selling securityholders, we and the selling securityholders will provide, if applicable, a prospectus supplement to this prospectus containing specific information about the offering by the selling securityholders and the amounts, prices and terms of the securities being offered.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12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in the United States. Our common stock trades on the Australian Securities Exchange (the “ASX”) under the symbol “360” in the form of CHESS Depositary Interests (“CDIs”). CDIs are units of beneficial ownership in shares of our common stock that are held in trust for CDI holders by CHESS Depositary Nominees Pty Limited (“CDN”), a subsidiary of ASX Limited, the company that operates the ASX. The CDIs entitle holders to dividends, if any, and other rights equivalent to shares of our common stock on a 3 CDIs-for-1 share of common stock basis. The last reported sale price of our CDIs on the ASX on May 9, 2024 (Australian Eastern Standard Time) was A$15.50 per CDI (equivalent to $30.76 per share of common stock, using an exchange rate of 0.6616 to convert Australian dollars to U.S. dollars as of May 3, 2024, as announced by the Federal Reserve). The applicable prospectus supplement will contain information, where applicable, as to other listings, if any, on any other securities exchange of the securities covered by the applicable prospectus supplement.</w:t>
      </w:r>
    </w:p>
    <w:p>
      <w:pPr>
        <w:spacing w:after="0" w:line="8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a high degree of risk. Before making an investment decision, you should review carefully the risks and uncertainties described under the heading “</w:t>
      </w:r>
      <w:r>
        <w:rPr>
          <w:rFonts w:ascii="Times New Roman" w:cs="Times New Roman" w:eastAsia="Times New Roman" w:hAnsi="Times New Roman"/>
          <w:sz w:val="18"/>
          <w:szCs w:val="18"/>
          <w:b w:val="1"/>
          <w:bCs w:val="1"/>
          <w:i w:val="1"/>
          <w:iCs w:val="1"/>
          <w:u w:val="single" w:color="auto"/>
          <w:color w:val="0000FF"/>
        </w:rPr>
        <w:t>Risk Factors</w:t>
      </w:r>
      <w:r>
        <w:rPr>
          <w:rFonts w:ascii="Times New Roman" w:cs="Times New Roman" w:eastAsia="Times New Roman" w:hAnsi="Times New Roman"/>
          <w:sz w:val="18"/>
          <w:szCs w:val="18"/>
          <w:b w:val="1"/>
          <w:bCs w:val="1"/>
          <w:i w:val="1"/>
          <w:iCs w:val="1"/>
          <w:color w:val="auto"/>
        </w:rPr>
        <w:t xml:space="preserve">” included in, or incorporated by reference into, this prospectus on page </w:t>
      </w:r>
      <w:r>
        <w:rPr>
          <w:rFonts w:ascii="Times New Roman" w:cs="Times New Roman" w:eastAsia="Times New Roman" w:hAnsi="Times New Roman"/>
          <w:sz w:val="18"/>
          <w:szCs w:val="18"/>
          <w:b w:val="1"/>
          <w:bCs w:val="1"/>
          <w:i w:val="1"/>
          <w:iCs w:val="1"/>
          <w:u w:val="single" w:color="auto"/>
          <w:color w:val="0000FF"/>
        </w:rPr>
        <w:t>25</w:t>
      </w:r>
      <w:r>
        <w:rPr>
          <w:rFonts w:ascii="Times New Roman" w:cs="Times New Roman" w:eastAsia="Times New Roman" w:hAnsi="Times New Roman"/>
          <w:sz w:val="18"/>
          <w:szCs w:val="18"/>
          <w:b w:val="1"/>
          <w:bCs w:val="1"/>
          <w:i w:val="1"/>
          <w:iCs w:val="1"/>
          <w:color w:val="auto"/>
        </w:rPr>
        <w:t xml:space="preserve">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accompanied by a prospectus supplement.</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securities may be sold directly by us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options to purchase additional shares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 See the sections of this prospectus 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34"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May 9, 2024.</w:t>
      </w:r>
    </w:p>
    <w:p>
      <w:pPr>
        <w:sectPr>
          <w:pgSz w:w="11900" w:h="16838" w:orient="portrait"/>
          <w:cols w:equalWidth="0" w:num="1">
            <w:col w:w="11240"/>
          </w:cols>
          <w:pgMar w:left="320" w:top="60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7"/>
            <w:vMerge w:val="restart"/>
          </w:tcPr>
          <w:p>
            <w:pPr>
              <w:spacing w:after="0" w:line="193"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7960" w:type="dxa"/>
            <w:vAlign w:val="bottom"/>
            <w:gridSpan w:val="8"/>
            <w:vMerge w:val="restart"/>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FF"/>
            </w:tcBorders>
            <w:gridSpan w:val="7"/>
            <w:vMerge w:val="continue"/>
          </w:tcPr>
          <w:p>
            <w:pPr>
              <w:spacing w:after="0"/>
              <w:rPr>
                <w:sz w:val="14"/>
                <w:szCs w:val="14"/>
                <w:color w:val="auto"/>
              </w:rPr>
            </w:pPr>
          </w:p>
        </w:tc>
        <w:tc>
          <w:tcPr>
            <w:tcW w:w="7960" w:type="dxa"/>
            <w:vAlign w:val="bottom"/>
            <w:gridSpan w:val="8"/>
            <w:vMerge w:val="continue"/>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gridSpan w:val="2"/>
          </w:tcPr>
          <w:p>
            <w:pPr>
              <w:jc w:val="center"/>
              <w:ind w:right="460"/>
              <w:spacing w:after="0" w:line="156" w:lineRule="exact"/>
              <w:rPr>
                <w:sz w:val="20"/>
                <w:szCs w:val="20"/>
                <w:color w:val="auto"/>
              </w:rPr>
            </w:pPr>
            <w:r>
              <w:rPr>
                <w:rFonts w:ascii="Times New Roman" w:cs="Times New Roman" w:eastAsia="Times New Roman" w:hAnsi="Times New Roman"/>
                <w:sz w:val="18"/>
                <w:szCs w:val="18"/>
                <w:u w:val="single" w:color="auto"/>
                <w:color w:val="0000FF"/>
              </w:rPr>
              <w:t>i</w:t>
            </w:r>
          </w:p>
        </w:tc>
        <w:tc>
          <w:tcPr>
            <w:tcW w:w="0" w:type="dxa"/>
            <w:vAlign w:val="bottom"/>
          </w:tcPr>
          <w:p>
            <w:pPr>
              <w:spacing w:after="0"/>
              <w:rPr>
                <w:sz w:val="1"/>
                <w:szCs w:val="1"/>
                <w:color w:val="auto"/>
              </w:rPr>
            </w:pPr>
          </w:p>
        </w:tc>
      </w:tr>
      <w:tr>
        <w:trPr>
          <w:trHeight w:val="223"/>
        </w:trPr>
        <w:tc>
          <w:tcPr>
            <w:tcW w:w="2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PROSPECTUS SUMMARY</w:t>
            </w:r>
          </w:p>
        </w:tc>
        <w:tc>
          <w:tcPr>
            <w:tcW w:w="8100" w:type="dxa"/>
            <w:vAlign w:val="bottom"/>
            <w:gridSpan w:val="9"/>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940" w:type="dxa"/>
            <w:vAlign w:val="bottom"/>
            <w:gridSpan w:val="13"/>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25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4860" w:type="dxa"/>
            <w:vAlign w:val="bottom"/>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26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4860" w:type="dxa"/>
            <w:vAlign w:val="bottom"/>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28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320" w:type="dxa"/>
            <w:vAlign w:val="bottom"/>
            <w:gridSpan w:val="5"/>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29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DESCRIPTION OF DEBT SECURITIES</w:t>
            </w:r>
          </w:p>
        </w:tc>
        <w:tc>
          <w:tcPr>
            <w:tcW w:w="7180" w:type="dxa"/>
            <w:vAlign w:val="bottom"/>
            <w:gridSpan w:val="4"/>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34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180" w:type="dxa"/>
            <w:vAlign w:val="bottom"/>
            <w:gridSpan w:val="4"/>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OWNERSHIP OF SECURITIES</w:t>
            </w: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SELLING SECURITYHOLDERS</w:t>
            </w:r>
          </w:p>
        </w:tc>
        <w:tc>
          <w:tcPr>
            <w:tcW w:w="7180" w:type="dxa"/>
            <w:vAlign w:val="bottom"/>
            <w:gridSpan w:val="4"/>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440" w:type="dxa"/>
            <w:vAlign w:val="bottom"/>
            <w:gridSpan w:val="4"/>
          </w:tcPr>
          <w:p>
            <w:pPr>
              <w:spacing w:after="0"/>
              <w:rPr>
                <w:sz w:val="18"/>
                <w:szCs w:val="18"/>
                <w:color w:val="auto"/>
              </w:rPr>
            </w:pPr>
          </w:p>
        </w:tc>
        <w:tc>
          <w:tcPr>
            <w:tcW w:w="7700" w:type="dxa"/>
            <w:vAlign w:val="bottom"/>
            <w:gridSpan w:val="6"/>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140" w:type="dxa"/>
            <w:vAlign w:val="bottom"/>
            <w:gridSpan w:val="10"/>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9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2"/>
          </w:tcPr>
          <w:p>
            <w:pPr>
              <w:spacing w:after="0"/>
              <w:rPr>
                <w:sz w:val="18"/>
                <w:szCs w:val="18"/>
                <w:color w:val="auto"/>
              </w:rPr>
            </w:pPr>
          </w:p>
        </w:tc>
        <w:tc>
          <w:tcPr>
            <w:tcW w:w="8740" w:type="dxa"/>
            <w:vAlign w:val="bottom"/>
            <w:gridSpan w:val="12"/>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5780" w:type="dxa"/>
            <w:vAlign w:val="bottom"/>
            <w:gridSpan w:val="3"/>
          </w:tcPr>
          <w:p>
            <w:pPr>
              <w:spacing w:after="0"/>
              <w:rPr>
                <w:sz w:val="18"/>
                <w:szCs w:val="18"/>
                <w:color w:val="auto"/>
              </w:rPr>
            </w:pP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49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1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60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0000FF"/>
                <w:w w:val="99"/>
              </w:rPr>
              <w:t>50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prospectus supplement, unless the context suggests otherwise, the terms:</w:t>
      </w:r>
    </w:p>
    <w:p>
      <w:pPr>
        <w:spacing w:after="0" w:line="171"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“Life360” and “Company” refer to Life360, Inc., a Delaware corporation, and its subsidiaries;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 “USD” refers to U.S.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or “AUD” refers to Australian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user” refers to a member who opens the Life360 app after completing their registration;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“ANZ” refers, collectively, to Australia and New Zealand;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“ARPPC” refers to Average Revenue per Paying Circle. See “Summary Selected Condensed Consolidated Financial and Other Data” for more information on our key performance indicators, including how we define these metrics;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“ARPPS” refers to Average Revenue per Paying Subscription. See “Summary Selected Condensed Consolidated Financial and Other Data” for more information on our key performance indicators, including how we define these metrics;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“ASX” refers to ASX Limited (ABN: 98 008 624 691) or the financial market known as the Australian Securities Exchange operated by it (as appropriate);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refers to the board of directors of Life360,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refers to the amended and restated bylaws of Life360,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“CDIs” refers to CHESS Depositary Interests;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“CDN” refers to CHESS Depositary Nominees Pty Limited;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Incorporation” refers to the amended and restated certificate of incorporation of Life360,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“CHESS” refers to the Clearing House Electronic Subregister System;</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“Circles” refers to private groups created by members on the Life360 Platform, which allow members to stay connected to other members in the Circle with Circle-specific features such as location sharing, messaging and check-ins;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“DAUs” refers to daily active users;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refers to the Delaware General Corporation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refers to generally accepted accounting principles in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“Hubble” refers to Hubble Network,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“Jiobit” refers to Jio, Inc., a Delaware corporation and a wholly-owned subsidiary of Life360, Inc.;</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“Life360 Platform” refers to the suite of Life360 offerings of products and services including the Life360 mobile application and related third-party services but excluding Tile and Jiobit offerings;</w:t>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“Life360 Service” refers to the suite of Life360 offerings of products and services including the Life360, Tile and Jiobit mobile applications and related third-party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“MAUs” refers to monthly active users of the Life360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refers to the users of the applicable Life360 Service;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refers to The Nasdaq Global Select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“OID” refers to original issue discount;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Circles” refers to the Circles covered by a subscription. See “Summary Selected Condensed Consolidated Financial and Other Data” for more information on our key performance indicators, including how we define these metrics;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U.S. Securities and Exchange Commission;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refers to the holders of beneficial interest of shares of our common stock, including all shares of our common stock underlying our CDIs;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refers to a person who has purchased a subscription to any Life360 Service;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refers to a paid subscription to any Life360 Service;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 refers to global total addressable market;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“Tile” refers to Tile, Inc., a Delaware corporation and wholly-owned subsidiary of Life360, Inc.</w:t>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SEC, using a “shelf” registration process as a “well-known seasoned issuer” as defined in Rule 405 under the Securities Act. Under this shelf registration statement, we or selling securityholders may, from time to time, offer and sell, either individually or in combination, in one or more offerings, any of the securities described in this prospectus. There is no limit on the aggregate amount of the securities that we or selling securityholders may offer pursuant to the registration statement of which this prospectus is a part.</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or selling securityholders may offer. 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Neither we nor the selling securityholders have authorized anyone to provide you with different or additional information. We and the selling securityholders take no responsibility for, and can provide no assurance as to the reliability of, any other information that others may give you.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“Life360,” “Company,” “we,” “us” and “our” refer to Life360, Inc., a Delaware corporation, and where appropriate,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7335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6130" cy="673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this prospectus,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consolidated financial statements and related notes, and the exhibits to the registration statement of which this prospectus is a part.</w:t>
      </w:r>
    </w:p>
    <w:p>
      <w:pPr>
        <w:spacing w:after="0" w:line="1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left="680" w:right="20"/>
        <w:spacing w:after="0" w:line="255" w:lineRule="auto"/>
        <w:rPr>
          <w:sz w:val="20"/>
          <w:szCs w:val="20"/>
          <w:color w:val="auto"/>
        </w:rPr>
      </w:pPr>
      <w:r>
        <w:rPr>
          <w:rFonts w:ascii="Times New Roman" w:cs="Times New Roman" w:eastAsia="Times New Roman" w:hAnsi="Times New Roman"/>
          <w:sz w:val="18"/>
          <w:szCs w:val="18"/>
          <w:color w:val="auto"/>
        </w:rPr>
        <w:t>Life360 is a leading technology platform connecting millions of people throughout the world to the people, pets and things they care about most. We have created a new category at the intersection of family, technology, and safety to help keep families connected and safe. Our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three membership subscription options that are available but not required.</w:t>
      </w:r>
    </w:p>
    <w:p>
      <w:pPr>
        <w:spacing w:after="0" w:line="13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We acquired Jiobit and Tile in September 2021 and January 2022, respectively, to create a comprehensive platform-agnostic location tracking solution for people, pets and things. Jiobit is a leading wearable location device for young children, pets and seniors and Tile is a leading product suite of location trackers for finding objects.</w:t>
      </w:r>
    </w:p>
    <w:p>
      <w:pPr>
        <w:spacing w:after="0" w:line="122"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Our suite of product and service offerings, including the Life360 and Tile mobile applications, and related third-party services, is system and platform-agnostic, allowing our products and services to work seamlessly for our members, regardless of the devices they use. As of March 31, 2024, we had approximately 66.4 million MAUs and 1.9 million global Paying Circles on the Life360 Platform, representing a year-over-year increase of 31%, and 21%, respectively.</w:t>
      </w:r>
    </w:p>
    <w:p>
      <w:pPr>
        <w:spacing w:after="0" w:line="126"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Our revenue is primarily generated from the sale of subscriptions and hardware tracking devices used to access our services across our two major brands, Life360 and Tile. In addition, a portion of our revenue is generated indirectly from the sale of aggregated data (non-personally identifiable information) for the purposes of data insights from our member base to our partners and from the sale of third-party products and services, including through the placement of ads within our platform.</w:t>
      </w:r>
    </w:p>
    <w:p>
      <w:pPr>
        <w:spacing w:after="0" w:line="1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For the years ended December 31, 2023, 2022, and 2021, we generated:</w:t>
      </w:r>
    </w:p>
    <w:p>
      <w:pPr>
        <w:spacing w:after="0" w:line="171" w:lineRule="exact"/>
        <w:rPr>
          <w:sz w:val="20"/>
          <w:szCs w:val="20"/>
          <w:color w:val="auto"/>
        </w:rPr>
      </w:pPr>
    </w:p>
    <w:p>
      <w:pPr>
        <w:ind w:left="1320" w:hanging="322"/>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$304.5 million, $228.3 million, and $112.6 million, respectively;</w:t>
      </w:r>
    </w:p>
    <w:p>
      <w:pPr>
        <w:spacing w:after="0" w:line="27" w:lineRule="exact"/>
        <w:rPr>
          <w:rFonts w:ascii="Times New Roman" w:cs="Times New Roman" w:eastAsia="Times New Roman" w:hAnsi="Times New Roman"/>
          <w:sz w:val="18"/>
          <w:szCs w:val="18"/>
          <w:color w:val="auto"/>
        </w:rPr>
      </w:pPr>
    </w:p>
    <w:p>
      <w:pPr>
        <w:ind w:left="1640" w:hanging="318"/>
        <w:spacing w:after="0"/>
        <w:tabs>
          <w:tab w:leader="none" w:pos="1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of $220.8 million, $153.3 million, and $86.6 million, respectively;</w:t>
      </w:r>
    </w:p>
    <w:p>
      <w:pPr>
        <w:spacing w:after="0" w:line="9" w:lineRule="exact"/>
        <w:rPr>
          <w:rFonts w:ascii="Times New Roman" w:cs="Times New Roman" w:eastAsia="Times New Roman" w:hAnsi="Times New Roman"/>
          <w:sz w:val="18"/>
          <w:szCs w:val="18"/>
          <w:color w:val="auto"/>
        </w:rPr>
      </w:pPr>
    </w:p>
    <w:p>
      <w:pPr>
        <w:ind w:left="1640" w:hanging="318"/>
        <w:spacing w:after="0"/>
        <w:tabs>
          <w:tab w:leader="none" w:pos="1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of $58.2 million, $47.9 million, and $1.0 million, respectively;</w:t>
      </w:r>
    </w:p>
    <w:p>
      <w:pPr>
        <w:spacing w:after="0" w:line="9" w:lineRule="exact"/>
        <w:rPr>
          <w:rFonts w:ascii="Times New Roman" w:cs="Times New Roman" w:eastAsia="Times New Roman" w:hAnsi="Times New Roman"/>
          <w:sz w:val="18"/>
          <w:szCs w:val="18"/>
          <w:color w:val="auto"/>
        </w:rPr>
      </w:pPr>
    </w:p>
    <w:p>
      <w:pPr>
        <w:ind w:left="1640" w:hanging="318"/>
        <w:spacing w:after="0"/>
        <w:tabs>
          <w:tab w:leader="none" w:pos="1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of $25.5 million, $27.1 million, and $25.1 million, respectively;</w:t>
      </w:r>
    </w:p>
    <w:p>
      <w:pPr>
        <w:spacing w:after="0" w:line="9"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$28.2 million, $91.6 million, and $33.6 million, respectively; and</w:t>
      </w:r>
    </w:p>
    <w:p>
      <w:pPr>
        <w:spacing w:after="0" w:line="9"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$20.6 million, $(40.1) million, and $(13.1) million, respectively.</w:t>
      </w:r>
      <w:r>
        <w:rPr>
          <w:rFonts w:ascii="Times New Roman" w:cs="Times New Roman" w:eastAsia="Times New Roman" w:hAnsi="Times New Roman"/>
          <w:sz w:val="23"/>
          <w:szCs w:val="23"/>
          <w:color w:val="auto"/>
          <w:vertAlign w:val="superscript"/>
        </w:rPr>
        <w:t>2</w:t>
      </w:r>
    </w:p>
    <w:p>
      <w:pPr>
        <w:spacing w:after="0" w:line="196" w:lineRule="exact"/>
        <w:rPr>
          <w:sz w:val="20"/>
          <w:szCs w:val="20"/>
          <w:color w:val="auto"/>
        </w:rPr>
      </w:pPr>
    </w:p>
    <w:p>
      <w:pPr>
        <w:ind w:left="760" w:hanging="86"/>
        <w:spacing w:after="0"/>
        <w:tabs>
          <w:tab w:leader="none" w:pos="760"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“Summary Selected Condensed Consolidated Financial and Other Data—Non-GAAP Financial Information” for a reconciliation to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580"/>
          </w:cols>
          <w:pgMar w:left="320" w:top="12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811530</wp:posOffset>
            </wp:positionV>
            <wp:extent cx="7136130" cy="78308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6130" cy="7830820"/>
                    </a:xfrm>
                    <a:prstGeom prst="rect">
                      <a:avLst/>
                    </a:prstGeom>
                    <a:noFill/>
                  </pic:spPr>
                </pic:pic>
              </a:graphicData>
            </a:graphic>
          </wp:anchor>
        </w:drawing>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680" w:right="180"/>
        <w:spacing w:after="0" w:line="280" w:lineRule="auto"/>
        <w:rPr>
          <w:sz w:val="20"/>
          <w:szCs w:val="20"/>
          <w:color w:val="auto"/>
        </w:rPr>
      </w:pPr>
      <w:r>
        <w:rPr>
          <w:rFonts w:ascii="Times New Roman" w:cs="Times New Roman" w:eastAsia="Times New Roman" w:hAnsi="Times New Roman"/>
          <w:sz w:val="14"/>
          <w:szCs w:val="14"/>
          <w:i w:val="1"/>
          <w:iCs w:val="1"/>
          <w:color w:val="auto"/>
        </w:rPr>
        <w:t>Note: As of March 31, 2024 unless otherwise stated. 1. Available in 133 countries through Google Play Store. 2. Based on approximately 38.8 million U.S. MAUs compared to the total U.S. population adjusted for smartphone penetration. 3. By Daily Active Users on the Apple App Store in the U.S. as of March 2024. 4. In full-year 2023.</w:t>
      </w:r>
    </w:p>
    <w:p>
      <w:pPr>
        <w:spacing w:after="0" w:line="2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Life360 Platform</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currently offer four key product features that make up the Life360 Platform: (i) location coordination and safety, (ii) driving safety,</w:t>
      </w:r>
    </w:p>
    <w:p>
      <w:pPr>
        <w:spacing w:after="0" w:line="27" w:lineRule="exact"/>
        <w:rPr>
          <w:sz w:val="20"/>
          <w:szCs w:val="20"/>
          <w:color w:val="auto"/>
        </w:rPr>
      </w:pPr>
    </w:p>
    <w:p>
      <w:pPr>
        <w:jc w:val="both"/>
        <w:ind w:left="680" w:right="20" w:hanging="6"/>
        <w:spacing w:after="0" w:line="252" w:lineRule="auto"/>
        <w:tabs>
          <w:tab w:leader="none" w:pos="100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safety, and (iv) emergency assistance. Each of these features keeps members connected to the important people in their lives by organizing them into groups called “Circles”. A member selects who to invite to their Circle and what information a Circle, or any individual member within that Circle, receives. Location coordination and safety features include real-time location, location history and smart notifications such as location-specific alerts, driving alerts and crime reports. Driving safety features include crash detection, roadside assistance, family driving summaries and individual driver reports. Digital safety features include data breach alerts, identity theft protection, stolen funds reimbursement and credit monitoring. Emergency assistance features include SOS with emergency dispatch, disaster response, medical assistance, and travel support.</w:t>
      </w:r>
    </w:p>
    <w:p>
      <w:pPr>
        <w:spacing w:after="0" w:line="1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Hardware Products</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Our hardware products under the Tile brand seamlessly integrate with the Life360 Platform. The Tile bluetooth network leverages the installed base of Life360 members to scan for locations of devices, generating even higher confidence that we can locate lost devices of Tile customers. Tile devices are sold through online and brick and mortar retail channels as well as directly via Tile.com in various shapes, sizes and price points for different use cases. The Tile mobile application offers a free service as well as two paid subscription options: Premium and Premium Protect, which offer additional services such as warranties and item reimbursement.</w:t>
      </w:r>
    </w:p>
    <w:p>
      <w:pPr>
        <w:spacing w:after="0" w:line="129"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The Jiobit product line, which we intend to rebrand to align with the Tile brand, offers wearable location devices for young children, pets, and seniors. Currently, it is offered exclusively in the U.S. via online retailers. Customers purchase a GPS enabled device and a monthly subscription to access location tracking services.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To help families stay connected and safe, we have developed a scalable mobile-first technology platform that protects our members’ data and ensures operational integrity, security and performance. Highlights of our technology platform include a robust location engine design, scalable and modern technology infrastructure, and seamless third-party integration.</w:t>
      </w:r>
    </w:p>
    <w:p>
      <w:pPr>
        <w:sectPr>
          <w:pgSz w:w="11900" w:h="16838" w:orient="portrait"/>
          <w:cols w:equalWidth="0" w:num="1">
            <w:col w:w="10580"/>
          </w:cols>
          <w:pgMar w:left="320" w:top="12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0"/>
          </w:cols>
          <w:pgMar w:left="320" w:top="121"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127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spacing w:after="0" w:line="253" w:lineRule="auto"/>
        <w:rPr>
          <w:sz w:val="20"/>
          <w:szCs w:val="20"/>
          <w:color w:val="auto"/>
        </w:rPr>
      </w:pPr>
      <w:r>
        <w:rPr>
          <w:rFonts w:ascii="Times New Roman" w:cs="Times New Roman" w:eastAsia="Times New Roman" w:hAnsi="Times New Roman"/>
          <w:sz w:val="18"/>
          <w:szCs w:val="18"/>
          <w:color w:val="auto"/>
        </w:rPr>
        <w:t>We have designed an end-to-end technology location solution that allows us to deliver real-time location-based experiences and includes functionality such as storage, processing and communication of events, locations, drives, maps, places, networking and visualization of device characteristics for people, pets and things. The Tile finding network has been integrated into the Life360 Platform. This integration allows members and Paying Circles to keep track of their things and connect with each other through the Life360 Platform. We have signed a non-binding letter of intent (“LOI”) with Hubble, a global satellite network designed for any bluetooth-enabled device to connect to, regarding a potential partnership that will expand our location tracking capabilities. Life360 and Hubble aim to build a global finder network, enabling partners to develop bluetooth finding devices capable of continuous global location sharing, independent of cellular connectivity. If integrated, this initiative would connect Life360’s extensive network of smartphones with Hubble’s satellite connectivity to form a unique network that locates devices from both space, using the Hubble constellation, and on the ground, via Life360’s widely used app.</w:t>
      </w:r>
    </w:p>
    <w:p>
      <w:pPr>
        <w:spacing w:after="0" w:line="140"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We utilize third-party services for our backend platform and infrastructure to connect to our apps and the hardware devices running them. Using these services grants us access to a highly distributed, scalable, reliable and secure architecture for global delivery of our mission critical services with potential to extend features and functionality—from dispatching tow trucks for roadside assistance to connecting calls for 24/7 SOS help.</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175" w:lineRule="exact"/>
        <w:rPr>
          <w:sz w:val="20"/>
          <w:szCs w:val="20"/>
          <w:color w:val="auto"/>
        </w:rPr>
      </w:pPr>
    </w:p>
    <w:p>
      <w:pPr>
        <w:jc w:val="both"/>
        <w:ind w:left="680"/>
        <w:spacing w:after="0" w:line="255" w:lineRule="auto"/>
        <w:rPr>
          <w:sz w:val="20"/>
          <w:szCs w:val="20"/>
          <w:color w:val="auto"/>
        </w:rPr>
      </w:pPr>
      <w:r>
        <w:rPr>
          <w:rFonts w:ascii="Times New Roman" w:cs="Times New Roman" w:eastAsia="Times New Roman" w:hAnsi="Times New Roman"/>
          <w:sz w:val="18"/>
          <w:szCs w:val="18"/>
          <w:color w:val="auto"/>
        </w:rPr>
        <w:t>We are a market leader in family safety, connecting millions of people globally through software and hardware to the people, pets and things they care most about. We offer a range of services including location sharing, safe driver reports, and crash detection with emergency dispatch. The widespread proliferation and continued growth of connected devices has led to a normalization of location sharing for a wide range of consumer applications such as item tracking, communication, social coordination or travel. From December 2018 through March 2024, the global location sharing app market alone has grown at a 22% CAGR, according to Data.ai. With our location-based technology as an anchor and our holistic approach to create the most trusted family connectivity and safety brand, we believe we can directly address multiple large, global market opportunities across our core and emerging offerings:</w:t>
      </w:r>
    </w:p>
    <w:p>
      <w:pPr>
        <w:spacing w:after="0" w:line="135" w:lineRule="exact"/>
        <w:rPr>
          <w:sz w:val="20"/>
          <w:szCs w:val="20"/>
          <w:color w:val="auto"/>
        </w:rPr>
      </w:pPr>
    </w:p>
    <w:p>
      <w:pPr>
        <w:jc w:val="both"/>
        <w:ind w:left="1320" w:right="20" w:hanging="322"/>
        <w:spacing w:after="0" w:line="255"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 Services.</w:t>
      </w:r>
      <w:r>
        <w:rPr>
          <w:rFonts w:ascii="Times New Roman" w:cs="Times New Roman" w:eastAsia="Times New Roman" w:hAnsi="Times New Roman"/>
          <w:sz w:val="18"/>
          <w:szCs w:val="18"/>
          <w:color w:val="auto"/>
        </w:rPr>
        <w:t xml:space="preserve"> The Life360 Platform is currently available in 171 countries through the Apple App Store and 133 countries through the Google Play Store through both tiered and single subscription offerings. We believe that the opportunity for our core subscription offerings alone translates into a TAM of $75 billion. Our core subscription offering consists of a bundle of services that competes with a variety of single point solutions, including:</w:t>
      </w:r>
    </w:p>
    <w:p>
      <w:pPr>
        <w:spacing w:after="0" w:line="2" w:lineRule="exact"/>
        <w:rPr>
          <w:rFonts w:ascii="Times New Roman" w:cs="Times New Roman" w:eastAsia="Times New Roman" w:hAnsi="Times New Roman"/>
          <w:sz w:val="18"/>
          <w:szCs w:val="18"/>
          <w:color w:val="auto"/>
        </w:rPr>
      </w:pPr>
    </w:p>
    <w:p>
      <w:pPr>
        <w:ind w:left="1640" w:right="300" w:hanging="318"/>
        <w:spacing w:after="0" w:line="250" w:lineRule="auto"/>
        <w:tabs>
          <w:tab w:leader="none" w:pos="16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Location Sharing</w:t>
      </w:r>
      <w:r>
        <w:rPr>
          <w:rFonts w:ascii="Times New Roman" w:cs="Times New Roman" w:eastAsia="Times New Roman" w:hAnsi="Times New Roman"/>
          <w:sz w:val="18"/>
          <w:szCs w:val="18"/>
          <w:color w:val="auto"/>
        </w:rPr>
        <w:t>. Our location sharing and associated safety features are a core pillar of our service, providing peace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mind for members by knowing location activity, receiving notifications and coordinating through messaging.</w:t>
      </w:r>
    </w:p>
    <w:p>
      <w:pPr>
        <w:ind w:left="1640" w:right="20" w:hanging="318"/>
        <w:spacing w:after="0" w:line="250" w:lineRule="auto"/>
        <w:tabs>
          <w:tab w:leader="none" w:pos="16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Driving Safety</w:t>
      </w:r>
      <w:r>
        <w:rPr>
          <w:rFonts w:ascii="Times New Roman" w:cs="Times New Roman" w:eastAsia="Times New Roman" w:hAnsi="Times New Roman"/>
          <w:sz w:val="18"/>
          <w:szCs w:val="18"/>
          <w:color w:val="auto"/>
        </w:rPr>
        <w:t>. Our crash detection features can sense collisions, and we deploy emergency response and have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aid with roadside issues such as towing services or minor repairs like jumpstarting a car battery.</w:t>
      </w:r>
    </w:p>
    <w:p>
      <w:pPr>
        <w:ind w:left="1640" w:right="300" w:hanging="318"/>
        <w:spacing w:after="0" w:line="250" w:lineRule="auto"/>
        <w:tabs>
          <w:tab w:leader="none" w:pos="16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Stolen Phone Protection</w:t>
      </w:r>
      <w:r>
        <w:rPr>
          <w:rFonts w:ascii="Times New Roman" w:cs="Times New Roman" w:eastAsia="Times New Roman" w:hAnsi="Times New Roman"/>
          <w:sz w:val="18"/>
          <w:szCs w:val="18"/>
          <w:color w:val="auto"/>
        </w:rPr>
        <w:t>. Our stolen phone protection provides coverage for members in the U.S., Canada, ANZ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Kingdom in the event their phone is stolen.</w:t>
      </w:r>
    </w:p>
    <w:p>
      <w:pPr>
        <w:ind w:left="1640" w:right="260" w:hanging="318"/>
        <w:spacing w:after="0" w:line="250" w:lineRule="auto"/>
        <w:tabs>
          <w:tab w:leader="none" w:pos="16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Emergency Assistance</w:t>
      </w:r>
      <w:r>
        <w:rPr>
          <w:rFonts w:ascii="Times New Roman" w:cs="Times New Roman" w:eastAsia="Times New Roman" w:hAnsi="Times New Roman"/>
          <w:sz w:val="18"/>
          <w:szCs w:val="18"/>
          <w:color w:val="auto"/>
        </w:rPr>
        <w:t>. Through emergency assistance, our Platinum members have access to medical professionals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offer referrals and provide reliable and trusted information. Further, members can get expert advice and help in unpredictable situations such as natural disasters or travel support both before and during travels.</w:t>
      </w:r>
    </w:p>
    <w:p>
      <w:pPr>
        <w:spacing w:after="0" w:line="1" w:lineRule="exact"/>
        <w:rPr>
          <w:rFonts w:ascii="Times New Roman" w:cs="Times New Roman" w:eastAsia="Times New Roman" w:hAnsi="Times New Roman"/>
          <w:sz w:val="18"/>
          <w:szCs w:val="18"/>
          <w:color w:val="auto"/>
        </w:rPr>
      </w:pPr>
    </w:p>
    <w:p>
      <w:pPr>
        <w:ind w:left="1640" w:right="180" w:hanging="318"/>
        <w:spacing w:after="0" w:line="255" w:lineRule="auto"/>
        <w:tabs>
          <w:tab w:leader="none" w:pos="16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Safety. </w:t>
      </w:r>
      <w:r>
        <w:rPr>
          <w:rFonts w:ascii="Times New Roman" w:cs="Times New Roman" w:eastAsia="Times New Roman" w:hAnsi="Times New Roman"/>
          <w:sz w:val="18"/>
          <w:szCs w:val="18"/>
          <w:color w:val="auto"/>
        </w:rPr>
        <w:t>Increased data breaches, credit card, bank and identity fraud has driven a need for digital safety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consumers. We leverage our aggregated data to offer proactive protection, notify about potential threats, and assist our members in remediation.</w:t>
      </w:r>
    </w:p>
    <w:p>
      <w:pPr>
        <w:spacing w:after="0" w:line="131" w:lineRule="exact"/>
        <w:rPr>
          <w:rFonts w:ascii="Times New Roman" w:cs="Times New Roman" w:eastAsia="Times New Roman" w:hAnsi="Times New Roman"/>
          <w:sz w:val="18"/>
          <w:szCs w:val="18"/>
          <w:color w:val="auto"/>
        </w:rPr>
      </w:pPr>
    </w:p>
    <w:p>
      <w:pPr>
        <w:jc w:val="both"/>
        <w:ind w:left="1320" w:hanging="322"/>
        <w:spacing w:after="0" w:line="261"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Item Tracking.</w:t>
      </w:r>
      <w:r>
        <w:rPr>
          <w:rFonts w:ascii="Times New Roman" w:cs="Times New Roman" w:eastAsia="Times New Roman" w:hAnsi="Times New Roman"/>
          <w:sz w:val="18"/>
          <w:szCs w:val="18"/>
          <w:color w:val="auto"/>
        </w:rPr>
        <w:t xml:space="preserve"> Tile is a leading brand in the rapidly growing smart tracker industry helping address the everyday pain point of losing or misplacing the things that matter most to our members. The market for bluetooth tracking and finding devices was estimated to be $2.1 billion in 2023, expected to grow at an estimated CAGR of 30% to $16.7 billion from 2023 to 2031, according to Intellectual Market Insights Report.</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0"/>
          </w:cols>
          <w:pgMar w:left="320" w:top="121"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861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6130" cy="686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hanging="322"/>
        <w:spacing w:after="0" w:line="261"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Pet Tracking.</w:t>
      </w:r>
      <w:r>
        <w:rPr>
          <w:rFonts w:ascii="Times New Roman" w:cs="Times New Roman" w:eastAsia="Times New Roman" w:hAnsi="Times New Roman"/>
          <w:sz w:val="18"/>
          <w:szCs w:val="18"/>
          <w:color w:val="auto"/>
        </w:rPr>
        <w:t xml:space="preserve"> The American Pet Product Association estimates that there are over 110 million cats and dogs in households in the U.S. The global pet wearable market is expected to grow at a 14% CAGR from $2.7 billion in 2023 to $6.9 billion by 2030. Within our member base, 65% of surveyed U.S. members owning a pet would be interested in a pet tracker as part of their Life360 subscription, demonstrating the strong market fit for our offering and our goal to capture this opportunity.</w:t>
      </w:r>
    </w:p>
    <w:p>
      <w:pPr>
        <w:spacing w:after="0" w:line="125" w:lineRule="exact"/>
        <w:rPr>
          <w:rFonts w:ascii="Times New Roman" w:cs="Times New Roman" w:eastAsia="Times New Roman" w:hAnsi="Times New Roman"/>
          <w:sz w:val="18"/>
          <w:szCs w:val="18"/>
          <w:color w:val="auto"/>
        </w:rPr>
      </w:pPr>
    </w:p>
    <w:p>
      <w:pPr>
        <w:jc w:val="both"/>
        <w:ind w:left="1320" w:right="20" w:hanging="322"/>
        <w:spacing w:after="0" w:line="261"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Advertising.</w:t>
      </w:r>
      <w:r>
        <w:rPr>
          <w:rFonts w:ascii="Times New Roman" w:cs="Times New Roman" w:eastAsia="Times New Roman" w:hAnsi="Times New Roman"/>
          <w:sz w:val="18"/>
          <w:szCs w:val="18"/>
          <w:color w:val="auto"/>
        </w:rPr>
        <w:t xml:space="preserve"> The global mobile advertising market is estimated to be $402 billion in 2024 by Data.ai. We believe our leading consumer-centric platform, our highly-engaged member base and our valuable first-party data position us to capture a portion of this market while still prioritizing the quality of our members’ experiences and privacy. We believe advertising in the U.S. alone could be a $3.1 billion addressable opportunity for us.</w:t>
      </w:r>
    </w:p>
    <w:p>
      <w:pPr>
        <w:spacing w:after="0" w:line="126"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As part of our growth roadmap, we expect to leverage our core experience to drive growth in adjacent markets, expand our addressable market, and integrate Life360 into all life stages. We believe our TAM includes adjacent opportunities such as auto insurance, a $382 billion market in the U.S. in 2023 alone, according to Mordor Intelligence, as well as elderly monitoring and family financial services.</w:t>
      </w:r>
    </w:p>
    <w:p>
      <w:pPr>
        <w:spacing w:after="0" w:line="122" w:lineRule="exact"/>
        <w:rPr>
          <w:sz w:val="20"/>
          <w:szCs w:val="20"/>
          <w:color w:val="auto"/>
        </w:rPr>
      </w:pPr>
    </w:p>
    <w:p>
      <w:pPr>
        <w:jc w:val="both"/>
        <w:ind w:left="680"/>
        <w:spacing w:after="0" w:line="255" w:lineRule="auto"/>
        <w:rPr>
          <w:sz w:val="20"/>
          <w:szCs w:val="20"/>
          <w:color w:val="auto"/>
        </w:rPr>
      </w:pPr>
      <w:r>
        <w:rPr>
          <w:rFonts w:ascii="Times New Roman" w:cs="Times New Roman" w:eastAsia="Times New Roman" w:hAnsi="Times New Roman"/>
          <w:sz w:val="18"/>
          <w:szCs w:val="18"/>
          <w:color w:val="auto"/>
        </w:rPr>
        <w:t>While we are already a leader in family safety and location sharing globally, we believe we are significantly underpenetrated across our core markets. For example, in the UK, ANZ, Canada, and Europe, penetration has increased over three times, measured as MAUs divided by population adjusted for smartphone penetration, according to the Pew Research Center, between December 2018 and March 2024. We believe there is potential for these markets to eventually reach parity with the U.S., where current penetration is 1 in 8 smartphone owners. Specifically, as of March 31, 2024, in the UK, ANZ, and Canada, our penetration is 7%, 9%, and 3%, respectively, reflecting 4.2 million, 2.2 million, and 0.9 million MAUs as of March 31, 2024, compared to 13% penetration in the U.S., reflecting approximately 38.8 million MAUs.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While U.S. penetration grew from 6% as of March 31, 2020, to 13% as of March 31, 2024, we believe there is still a significant remaining runway for growth in the U.S. Over the last four years, U.S. penetration increased across all states, and states with penetration above the U.S. average of 6% in 2020 experienced over 115% penetration</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580"/>
          </w:cols>
          <w:pgMar w:left="320" w:top="121" w:right="9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530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6130" cy="753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growth on average from March 31, 2020, to March 31, 2024, underlining that there is still meaningful runway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Strengths</w:t>
      </w:r>
    </w:p>
    <w:p>
      <w:pPr>
        <w:spacing w:after="0" w:line="171" w:lineRule="exact"/>
        <w:rPr>
          <w:sz w:val="20"/>
          <w:szCs w:val="20"/>
          <w:color w:val="auto"/>
        </w:rPr>
      </w:pPr>
    </w:p>
    <w:p>
      <w:pPr>
        <w:jc w:val="both"/>
        <w:ind w:left="1320" w:hanging="322"/>
        <w:spacing w:after="0" w:line="253"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Platform in Family Safety Across All Life Stages: </w:t>
      </w:r>
      <w:r>
        <w:rPr>
          <w:rFonts w:ascii="Times New Roman" w:cs="Times New Roman" w:eastAsia="Times New Roman" w:hAnsi="Times New Roman"/>
          <w:sz w:val="18"/>
          <w:szCs w:val="18"/>
          <w:color w:val="auto"/>
        </w:rPr>
        <w:t>We are a market leader in family safety and location sharing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addressing large, global market opportunities across our offerings. Approximately 66.4 million MAUs on the Life360 Platform worldwide enjoy the peace of mind that comes with the Life360 location sharing and safety features. We believe that our variety of services, including location safety, driving safety, digital safety, and emergency assistance, provide members with a superior experience. Beyond the Life360 app, we also help our members track their pets and the things they care most about, ensuring that families know all the most important aspects of their life are connected and safe. Given the breadth of our platform and services, we have attracted a wide range of members that span all life stages. To understand the segmentation of our member base, we analyze the composition of both our Circles, which includes free and paying members, and Paying Circles so that we can better understand the monetization patterns of different segments. Families with teens, which we define as Circles with at least one member being a parent and one or more teens, between the ages of 13 to 19, are our key audience making up 39% of Circles and 56% of Paying Circles, as of March 31, 2024. Couples, which we define as Circles of two members with a spouse or partner, represent 18% of Circles and 11% of Paying Circles as of March 31, 2024. We believe we have an opportunity to drive member engagement and organic growth in new MAUs across all life stages and expand monetization beyond our core audience.</w:t>
      </w:r>
    </w:p>
    <w:p>
      <w:pPr>
        <w:spacing w:after="0" w:line="131" w:lineRule="exact"/>
        <w:rPr>
          <w:rFonts w:ascii="Times New Roman" w:cs="Times New Roman" w:eastAsia="Times New Roman" w:hAnsi="Times New Roman"/>
          <w:sz w:val="18"/>
          <w:szCs w:val="18"/>
          <w:color w:val="auto"/>
        </w:rPr>
      </w:pPr>
    </w:p>
    <w:p>
      <w:pPr>
        <w:jc w:val="both"/>
        <w:ind w:left="1320" w:hanging="322"/>
        <w:spacing w:after="0" w:line="25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Brand Awareness and Freemium Model Driving Powerful Network Effects: </w:t>
      </w:r>
      <w:r>
        <w:rPr>
          <w:rFonts w:ascii="Times New Roman" w:cs="Times New Roman" w:eastAsia="Times New Roman" w:hAnsi="Times New Roman"/>
          <w:sz w:val="18"/>
          <w:szCs w:val="18"/>
          <w:color w:val="auto"/>
        </w:rPr>
        <w:t>We have built a trusted brand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synonymous with family safety and location sharing, driving strong word-of-mouth virality and organic member growth. We estimate our brand awareness among parents in the U.S. to be 53% in October 2023, with a Net Promoter Score of greater than 50 for adults aged between 31-60 in the U.S. as of April 2024. This is supported by Life360’s position as a top five social networking mobile app by DAUs, with a 4.7 rating on the Apple App Store in the U.S., as of March 2024. Because app store rankings significantly impact a consumer’s decision to download an app, we believe our high app store ranking drives strong organic member acquisition for Life360. We also believe our freemium business model drives significant member scale, allowing us to keep paid marketing spend efficient. Any smartphone user can download and use select Life360 features without payment, and we have a proven ability to convert free members to subscribers over time. On average, for all members that registered from 2017 through March 2024, with respect to free members that converted to subscribers during the first three years, approximately 35% converted in the first 1 month, approximately 28% converted in the next 11 months, and approximately 37% converted in the next 24 months. This demonstrates our consistency in driving subscriber conversion over multiple years well after their initial acquisition. We leverage our deep data insights to upsell free members at select, intentional moments to convert them to subscribers, where they can access new features that increase their willingness to pay and drive higher ARPPC over time. Our strong brand and freemium business model have helped drive efficient member growth of 26% for the year ended December 31, 2023 (including 40% growth outside the U.S.), while sales and marketing expense as a</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580"/>
          </w:cols>
          <w:pgMar w:left="320" w:top="121" w:right="9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118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6130" cy="711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spacing w:after="0" w:line="266" w:lineRule="auto"/>
        <w:rPr>
          <w:sz w:val="20"/>
          <w:szCs w:val="20"/>
          <w:color w:val="auto"/>
        </w:rPr>
      </w:pPr>
      <w:r>
        <w:rPr>
          <w:rFonts w:ascii="Times New Roman" w:cs="Times New Roman" w:eastAsia="Times New Roman" w:hAnsi="Times New Roman"/>
          <w:sz w:val="18"/>
          <w:szCs w:val="18"/>
          <w:color w:val="auto"/>
        </w:rPr>
        <w:t>percentage of revenue fell from 40% to 33% year-over-year. Between 2019 and 2023, our Life360 user acquisition cost, defined as the annual user acquisition spend divided by total new member registrations, was less than $1 per new member, driven by our strong word-of-mouth and disciplined approach to marketing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jc w:val="both"/>
        <w:ind w:left="1000" w:hanging="326"/>
        <w:spacing w:after="0" w:line="260" w:lineRule="auto"/>
        <w:tabs>
          <w:tab w:leader="none" w:pos="99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previously calculated Paying Circles by including subscribers who had been billed as well as whose billing status was pending as of the end of the period. As of March 31, 2023, we revised our definition of Paying Circles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As a result, Paying Circles presented prior to 2023 in the table above have been recast to reflect the calculations under the revised metric definition.</w:t>
      </w:r>
    </w:p>
    <w:p>
      <w:pPr>
        <w:spacing w:after="0" w:line="219" w:lineRule="exact"/>
        <w:rPr>
          <w:rFonts w:ascii="Times New Roman" w:cs="Times New Roman" w:eastAsia="Times New Roman" w:hAnsi="Times New Roman"/>
          <w:sz w:val="14"/>
          <w:szCs w:val="14"/>
          <w:color w:val="auto"/>
        </w:rPr>
      </w:pPr>
    </w:p>
    <w:p>
      <w:pPr>
        <w:jc w:val="both"/>
        <w:ind w:left="1320" w:hanging="322"/>
        <w:spacing w:after="0" w:line="253" w:lineRule="auto"/>
        <w:tabs>
          <w:tab w:leader="none" w:pos="131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Highly Engaged Member Base: </w:t>
      </w:r>
      <w:r>
        <w:rPr>
          <w:rFonts w:ascii="Times New Roman" w:cs="Times New Roman" w:eastAsia="Times New Roman" w:hAnsi="Times New Roman"/>
          <w:sz w:val="18"/>
          <w:szCs w:val="18"/>
          <w:color w:val="auto"/>
        </w:rPr>
        <w:t>We believe our member experience is what has enabled the Life360 Platform to become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player in family safety and location sharing. We are focused on continually improving our member engagement, and have been able to do so in both the U.S. and internationally by enhancing the member experience, introducing new services, localizing content for international markets, and implementing infrastructure improvements. Our member base is highly entrenched in our platform—as more members join the Life360 Platform, our members are able to gain deeper insights into the activities of their Circles that are not replicable on any other social network. The charts below highlight the increasing size and retention of our MAUs and the conversion to and retention of our Paying Circles that have joined in each period presented. The MAU chart illustrates that our number of MAUs by member registration year has grown significantly over time (with the exception of COVID-related impacts in 2020, which significantly depressed new member registrations during 2020 and we believe is not indicative of our growth), driven by higher registrations and improving member retention, particularly internationally. The Paying Circles chart highlights the growth in our subscriber base as a result of the growth in MAUs and increases in conversion. The long-term conversion pattern of our free members to Paying Circles (as described in “Strong Brand Awareness and Freemium Model Driving Powerful Network Effects”) has historically supported our net subscriber retention for the Paying Circles by member registration year by helping to offset, at least partially, subscribers that leave the platform over time.</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580"/>
          </w:cols>
          <w:pgMar w:left="320" w:top="121" w:right="9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811530</wp:posOffset>
            </wp:positionV>
            <wp:extent cx="7136130" cy="8019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6130" cy="8019415"/>
                    </a:xfrm>
                    <a:prstGeom prst="rect">
                      <a:avLst/>
                    </a:prstGeom>
                    <a:noFill/>
                  </pic:spPr>
                </pic:pic>
              </a:graphicData>
            </a:graphic>
          </wp:anchor>
        </w:drawing>
      </w:r>
    </w:p>
    <w:p>
      <w:pPr>
        <w:sectPr>
          <w:pgSz w:w="11900" w:h="16838" w:orient="portrait"/>
          <w:cols w:equalWidth="0" w:num="1">
            <w:col w:w="10580"/>
          </w:cols>
          <w:pgMar w:left="320" w:top="121" w:right="999"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320" w:hanging="322"/>
        <w:spacing w:after="0" w:line="254"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Value Proposition Enabling Expansion of Average Revenue per Paying Circle: </w:t>
      </w:r>
      <w:r>
        <w:rPr>
          <w:rFonts w:ascii="Times New Roman" w:cs="Times New Roman" w:eastAsia="Times New Roman" w:hAnsi="Times New Roman"/>
          <w:sz w:val="18"/>
          <w:szCs w:val="18"/>
          <w:color w:val="auto"/>
        </w:rPr>
        <w:t>We have leveraged our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proposition to members and tiered membership strategy to significantly increase our ARPPC with 16% year-over-year growth for U.S. Paying Circles as of the three months ending March 31, 2024, and 39% year-over-year growth for international Paying Circles in the same period. We have a strong track record of expanding ARPPC over time across both new and existing Paying Circles through a combination of higher pricing from the launch of triple tier memberships and price increases to new and existing Paying Circles. We expect this growth to continue as we benefit from recent triple tier membership launches in Canada, the UK and ANZ, and as members of our Paying Circles upgrade to higher priced tiers with additional features, including upsell opportunities with our hardware offering. We believe our subscriber retention dynamics combined with our ability to expand ARPPC provides visibility into our revenue. Net subscriber retention has historically been consistent across member registration years, driving net subscription revenue retention rate that is approximately 100% based on the average monthly</w:t>
      </w:r>
    </w:p>
    <w:p>
      <w:pPr>
        <w:sectPr>
          <w:pgSz w:w="11900" w:h="16838" w:orient="portrait"/>
          <w:cols w:equalWidth="0" w:num="1">
            <w:col w:w="10580"/>
          </w:cols>
          <w:pgMar w:left="320" w:top="121" w:right="999" w:bottom="97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580"/>
          </w:cols>
          <w:pgMar w:left="320" w:top="121" w:right="999" w:bottom="97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813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6130" cy="781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right="20"/>
        <w:spacing w:after="0" w:line="266" w:lineRule="auto"/>
        <w:rPr>
          <w:sz w:val="20"/>
          <w:szCs w:val="20"/>
          <w:color w:val="auto"/>
        </w:rPr>
      </w:pPr>
      <w:r>
        <w:rPr>
          <w:rFonts w:ascii="Times New Roman" w:cs="Times New Roman" w:eastAsia="Times New Roman" w:hAnsi="Times New Roman"/>
          <w:sz w:val="18"/>
          <w:szCs w:val="18"/>
          <w:color w:val="auto"/>
        </w:rPr>
        <w:t>subscription revenue for the six months ended December 31, 2023 compared to the prior six-month period. Our ability to continue to demonstrate trends like these is dependent on maintaining and expanding the value proposition of our platform, which supports member and subscriber retention and our ability to increase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jc w:val="both"/>
        <w:ind w:left="1000" w:hanging="326"/>
        <w:spacing w:after="0" w:line="260" w:lineRule="auto"/>
        <w:tabs>
          <w:tab w:leader="none" w:pos="99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previously calculated Paying Circles by including subscribers who had been billed as well as whose billing status was pending as of the end of the period. As of March 31, 2023, we revised our definition of Paying Circles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As a result, ARPPC presented prior to 2023 in the table above have been recast to reflect the calculations under the revised metric definition.</w:t>
      </w:r>
    </w:p>
    <w:p>
      <w:pPr>
        <w:spacing w:after="0" w:line="138" w:lineRule="exact"/>
        <w:rPr>
          <w:rFonts w:ascii="Times New Roman" w:cs="Times New Roman" w:eastAsia="Times New Roman" w:hAnsi="Times New Roman"/>
          <w:sz w:val="14"/>
          <w:szCs w:val="14"/>
          <w:color w:val="auto"/>
        </w:rPr>
      </w:pPr>
    </w:p>
    <w:p>
      <w:pPr>
        <w:jc w:val="both"/>
        <w:ind w:left="1320" w:hanging="322"/>
        <w:spacing w:after="0" w:line="255" w:lineRule="auto"/>
        <w:tabs>
          <w:tab w:leader="none" w:pos="131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our First-Data Advantage to Monetize Through Advertising: </w:t>
      </w:r>
      <w:r>
        <w:rPr>
          <w:rFonts w:ascii="Times New Roman" w:cs="Times New Roman" w:eastAsia="Times New Roman" w:hAnsi="Times New Roman"/>
          <w:sz w:val="18"/>
          <w:szCs w:val="18"/>
          <w:color w:val="auto"/>
        </w:rPr>
        <w:t>We introduced advertising to our platform in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of 2024, with the goal of providing our advertising partners access to Life360’s approximately 66.4 million MAUs globally. We believe we are well positioned to monetize our advertising offering, given our deterministic-based targeting due to our extensive first-party location data, our globally recognized brand, and our ability to provide brands a contextually relevant and safe place to engage with families. Our focus is to implement advertising while ensuring that we protect our core experience and our member’s data privacy, and we are encouraged by the success of early testing, which demonstrates a neutral impact on member engagement and customer satisfaction score. We believe advertising presents a strong opportunity to build on the overall member experience and capitalize on our data advantage.</w:t>
      </w:r>
    </w:p>
    <w:p>
      <w:pPr>
        <w:spacing w:after="0" w:line="130" w:lineRule="exact"/>
        <w:rPr>
          <w:rFonts w:ascii="Times New Roman" w:cs="Times New Roman" w:eastAsia="Times New Roman" w:hAnsi="Times New Roman"/>
          <w:sz w:val="18"/>
          <w:szCs w:val="18"/>
          <w:color w:val="auto"/>
        </w:rPr>
      </w:pPr>
    </w:p>
    <w:p>
      <w:pPr>
        <w:jc w:val="both"/>
        <w:ind w:left="1320" w:hanging="322"/>
        <w:spacing w:after="0" w:line="254" w:lineRule="auto"/>
        <w:tabs>
          <w:tab w:leader="none" w:pos="131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Comprehensive Product Suite with Breadth and Depth of Functionality: </w:t>
      </w:r>
      <w:r>
        <w:rPr>
          <w:rFonts w:ascii="Times New Roman" w:cs="Times New Roman" w:eastAsia="Times New Roman" w:hAnsi="Times New Roman"/>
          <w:sz w:val="18"/>
          <w:szCs w:val="18"/>
          <w:color w:val="auto"/>
        </w:rPr>
        <w:t>Since 2016, we have invested over $375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with 35 patents issued or pending underlying the key offerings of our platform (including patents covering battery power conservation; location fixing and tracking; behavioral pattern assessment in the use of a mobile device; member safety; notification management; usage monitoring and access control of applications; generation of notifications in a workout group; generation and sending of prepopulated messages to a selected group of mobile devices). Our technology spans a wide range of services, from emergency assistance to identity theft protection to stolen phone reimbursement, applicable for every member of the family from child to grandparent. We are continually expanding our platform for our members. Our acquisitions of Tile and Jiobit have driven further growth, conversion and retention by improving the overall member experience and providing access to a unified experience that brings together software and hardware.</w:t>
      </w:r>
    </w:p>
    <w:p>
      <w:pPr>
        <w:spacing w:after="0" w:line="134" w:lineRule="exact"/>
        <w:rPr>
          <w:rFonts w:ascii="Times New Roman" w:cs="Times New Roman" w:eastAsia="Times New Roman" w:hAnsi="Times New Roman"/>
          <w:sz w:val="18"/>
          <w:szCs w:val="18"/>
          <w:color w:val="auto"/>
        </w:rPr>
      </w:pPr>
    </w:p>
    <w:p>
      <w:pPr>
        <w:ind w:left="1320" w:right="20" w:hanging="322"/>
        <w:spacing w:after="0" w:line="286" w:lineRule="auto"/>
        <w:tabs>
          <w:tab w:leader="none" w:pos="131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System- and Device-Agnostic, with OS Neutrality and Interoperability: </w:t>
      </w:r>
      <w:r>
        <w:rPr>
          <w:rFonts w:ascii="Times New Roman" w:cs="Times New Roman" w:eastAsia="Times New Roman" w:hAnsi="Times New Roman"/>
          <w:sz w:val="18"/>
          <w:szCs w:val="18"/>
          <w:color w:val="auto"/>
        </w:rPr>
        <w:t>The Life360 suite of offerings is system- and device-agnostic, offering a cross-platform competitive advantage, especially in Android-heavy</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580"/>
          </w:cols>
          <w:pgMar w:left="320" w:top="121" w:right="9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2307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20"/>
        <w:spacing w:after="0" w:line="258" w:lineRule="auto"/>
        <w:rPr>
          <w:sz w:val="20"/>
          <w:szCs w:val="20"/>
          <w:color w:val="auto"/>
        </w:rPr>
      </w:pPr>
      <w:r>
        <w:rPr>
          <w:rFonts w:ascii="Times New Roman" w:cs="Times New Roman" w:eastAsia="Times New Roman" w:hAnsi="Times New Roman"/>
          <w:sz w:val="18"/>
          <w:szCs w:val="18"/>
          <w:color w:val="auto"/>
        </w:rPr>
        <w:t>locales. Our products and services work seamlessly for families, regardless of the different platforms and devices that each family member may elect to use. This is reflected in the composition of Paying Circles between platforms, with 45% of our total Paying Circles as of March 31, 2024 being cross-platform. This rises to nearly 50% for Paying Circles with more than three members. We believe we will continue to benefit from the increasing proliferation of connected devices across platforms given our platform agnostic approach.</w:t>
      </w:r>
    </w:p>
    <w:p>
      <w:pPr>
        <w:spacing w:after="0" w:line="125" w:lineRule="exact"/>
        <w:rPr>
          <w:sz w:val="20"/>
          <w:szCs w:val="20"/>
          <w:color w:val="auto"/>
        </w:rPr>
      </w:pPr>
    </w:p>
    <w:p>
      <w:pPr>
        <w:jc w:val="both"/>
        <w:ind w:left="1320" w:hanging="322"/>
        <w:spacing w:after="0" w:line="26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Founder-Led, Seasoned Management Team: </w:t>
      </w:r>
      <w:r>
        <w:rPr>
          <w:rFonts w:ascii="Times New Roman" w:cs="Times New Roman" w:eastAsia="Times New Roman" w:hAnsi="Times New Roman"/>
          <w:sz w:val="18"/>
          <w:szCs w:val="18"/>
          <w:color w:val="auto"/>
        </w:rPr>
        <w:t>Our leadership team is composed of highly experienced executives,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proven track record of scaling consumer technology and subscription businesses, led by our co-founder and Chief Executive Officer, Chris Hulls. We are aligned and focused on our opportunity to build the most trusted brand in technology for family safety.</w:t>
      </w:r>
    </w:p>
    <w:p>
      <w:pPr>
        <w:spacing w:after="0" w:line="122" w:lineRule="exact"/>
        <w:rPr>
          <w:rFonts w:ascii="Times New Roman" w:cs="Times New Roman" w:eastAsia="Times New Roman" w:hAnsi="Times New Roman"/>
          <w:sz w:val="18"/>
          <w:szCs w:val="18"/>
          <w:color w:val="auto"/>
        </w:rPr>
      </w:pPr>
    </w:p>
    <w:p>
      <w:pPr>
        <w:jc w:val="both"/>
        <w:ind w:left="1320" w:hanging="322"/>
        <w:spacing w:after="0" w:line="254"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Scalable Business Model Driven by Recurring Revenue: </w:t>
      </w:r>
      <w:r>
        <w:rPr>
          <w:rFonts w:ascii="Times New Roman" w:cs="Times New Roman" w:eastAsia="Times New Roman" w:hAnsi="Times New Roman"/>
          <w:sz w:val="18"/>
          <w:szCs w:val="18"/>
          <w:color w:val="auto"/>
        </w:rPr>
        <w:t>We believe that we have a highly scalable business model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maximizes our revenues and minimizes our costs. The recurring nature of our subscription business coupled with strong member retention provides near-term revenue visibility, while our free member base serves as a highly efficient subscriber acquisition funnel. Our strategy has enabled us to drive continued revenue growth, achieving 33% year-over-year total revenue growth for the year ended December 31, 2023 underpinned by 44% year-over-year growth in subscription revenue (representing 73% of total revenue) in the same period. We believe we have invested in the necessary infrastructure to support our future growth and are beginning to see the benefits of operating leverage as we scale. For the year ended December 31, 2023, operating expenses grew by only 4% year-over-year compared to our larger revenue growth. This has contributed to a significantly reduced net loss of $28.2 million for the year ended December 31, 2023, compared to a net loss of $91.6 million for the year ended December 31, 2022, and a material improvement in Adjusted EBITDA, scaling from a $40.1 million loss for the year ended December 31, 2022 to $20.6 million for the year ended December 31, 2023.</w:t>
      </w:r>
    </w:p>
    <w:p>
      <w:pPr>
        <w:spacing w:after="0" w:line="1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71" w:lineRule="exact"/>
        <w:rPr>
          <w:sz w:val="20"/>
          <w:szCs w:val="20"/>
          <w:color w:val="auto"/>
        </w:rPr>
      </w:pPr>
    </w:p>
    <w:p>
      <w:pPr>
        <w:jc w:val="both"/>
        <w:ind w:left="1320" w:hanging="322"/>
        <w:spacing w:after="0" w:line="253"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Members in New and Existing Markets: </w:t>
      </w:r>
      <w:r>
        <w:rPr>
          <w:rFonts w:ascii="Times New Roman" w:cs="Times New Roman" w:eastAsia="Times New Roman" w:hAnsi="Times New Roman"/>
          <w:sz w:val="18"/>
          <w:szCs w:val="18"/>
          <w:color w:val="auto"/>
        </w:rPr>
        <w:t>We have both a strong foothold in the U.S. and a large and growing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member base. The Life360 app is currently available for download in 171 countries through the Apple App Store and 133 countries through the Google Play Store. Our members are our best acquisition engine, and we believe that word-of-mouth referrals will continue to drive strong new member growth. We plan to drive further market penetration through increased investments in international marketing and brand awareness, member acquisition initiatives, and the provision of new features into these regions. We successfully implemented our tiered offering in Canada in December 2021, followed by the UK in October 2023, and ANZ in April 2024. As of December 31, 2023, international members represented approximately 40% of our total MAUs, but accounted for approximately 12% of total revenue—further highlighting the large-scale opportunity to grow paying subscriptions and advertising in new and existing global markets. Furthermore, we have demonstrated our ability to quickly accelerate ARPPC and revenue growth following the launch of triple tier pricing in new markets, replacing the legacy two tiered subscriber offering. Relative to its pre-launch revenue and ARPPC, Canada demonstrated ARPPC growth of 31%, 49%, and 51% after 6, 12, and 18 months post-launch, respectively. The triple tier membership launch and price increase to existing legacy subscribers in the UK saw 53% ARPPC growth in the first 6 months relative to the pre-launch baseline.</w:t>
      </w:r>
    </w:p>
    <w:p>
      <w:pPr>
        <w:spacing w:after="0" w:line="133" w:lineRule="exact"/>
        <w:rPr>
          <w:rFonts w:ascii="Times New Roman" w:cs="Times New Roman" w:eastAsia="Times New Roman" w:hAnsi="Times New Roman"/>
          <w:sz w:val="18"/>
          <w:szCs w:val="18"/>
          <w:color w:val="auto"/>
        </w:rPr>
      </w:pPr>
    </w:p>
    <w:p>
      <w:pPr>
        <w:jc w:val="both"/>
        <w:ind w:left="1320" w:hanging="322"/>
        <w:spacing w:after="0" w:line="255"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 Conversion from Free Members to Paid Subscriptions: </w:t>
      </w:r>
      <w:r>
        <w:rPr>
          <w:rFonts w:ascii="Times New Roman" w:cs="Times New Roman" w:eastAsia="Times New Roman" w:hAnsi="Times New Roman"/>
          <w:sz w:val="18"/>
          <w:szCs w:val="18"/>
          <w:color w:val="auto"/>
        </w:rPr>
        <w:t>We have built a scaled, global member base of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66.4 million MAUs and believe we are still early in our opportunity to monetize our member base. We believe our value proposition will drive conversion from free to paid as we incorporate additional features that resonate across all life stages. As of March 31, 2024, MAUs in U.S. Paying Circles represented approximately 12% of our approximately 38.8 million U.S. MAUs, providing a strong runway for additional paid conversion. Similarly, MAUs in International Paying Circles represented approximately 5% of our approximately 27.5 million International MAUs. Life360 has a strong track record of Paying Circle growth with 1.9 million global Paying Circles as of March 31, 2024, an increase of 21% year-over-year (including 39% year-over-year growth for International Paying Circles).</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580"/>
          </w:cols>
          <w:pgMar w:left="320" w:top="121" w:right="9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6079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320" w:hanging="322"/>
        <w:spacing w:after="0" w:line="256"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Disciplined Expansion in New Use Cases and New Verticals: </w:t>
      </w:r>
      <w:r>
        <w:rPr>
          <w:rFonts w:ascii="Times New Roman" w:cs="Times New Roman" w:eastAsia="Times New Roman" w:hAnsi="Times New Roman"/>
          <w:sz w:val="18"/>
          <w:szCs w:val="18"/>
          <w:color w:val="auto"/>
        </w:rPr>
        <w:t>Product innovation lies at the heart of our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continue to leverage our core technologies to offer additional services, expand into more life stages of families and enter new verticals, we believe we will strengthen our value proposition to consumers. We leverage the insights we generate from our platform to further enhance our offering. While we primarily monetize members via subscriptions today, we launched advertisements in the first quarter of 2024 and hope to expand into new revenue streams (such as auto insurance, family financial services and elderly monitoring) by leveraging the trust we have with our members and the valuable data our platform generates.</w:t>
      </w:r>
    </w:p>
    <w:p>
      <w:pPr>
        <w:spacing w:after="0" w:line="128" w:lineRule="exact"/>
        <w:rPr>
          <w:rFonts w:ascii="Times New Roman" w:cs="Times New Roman" w:eastAsia="Times New Roman" w:hAnsi="Times New Roman"/>
          <w:sz w:val="18"/>
          <w:szCs w:val="18"/>
          <w:color w:val="auto"/>
        </w:rPr>
      </w:pPr>
    </w:p>
    <w:p>
      <w:pPr>
        <w:jc w:val="both"/>
        <w:ind w:left="1320" w:hanging="322"/>
        <w:spacing w:after="0" w:line="256"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Monetization of Free Members via Advertising: </w:t>
      </w:r>
      <w:r>
        <w:rPr>
          <w:rFonts w:ascii="Times New Roman" w:cs="Times New Roman" w:eastAsia="Times New Roman" w:hAnsi="Times New Roman"/>
          <w:sz w:val="18"/>
          <w:szCs w:val="18"/>
          <w:color w:val="auto"/>
        </w:rPr>
        <w:t>We believe advertising is a significant opportunity to monetize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base further, and we have developed a robust strategy to lean into this opportunity. Life360’s initial rollout is focused on pursuing programmatic relationships and paid partnerships while starting to leverage Life360’s unique, first-party data. Over time, we plan to expand our direct sales efforts to grow our advertiser base and pursue off-site advertising opportunities to help specific brands connect with our members organically and safely. Our priority is to implement advertising while ensuring that we enhance and protect our core experience, and we believe that we can achieve that while growing our advertising business significantly.</w:t>
      </w:r>
    </w:p>
    <w:p>
      <w:pPr>
        <w:spacing w:after="0" w:line="128" w:lineRule="exact"/>
        <w:rPr>
          <w:rFonts w:ascii="Times New Roman" w:cs="Times New Roman" w:eastAsia="Times New Roman" w:hAnsi="Times New Roman"/>
          <w:sz w:val="18"/>
          <w:szCs w:val="18"/>
          <w:color w:val="auto"/>
        </w:rPr>
      </w:pPr>
    </w:p>
    <w:p>
      <w:pPr>
        <w:jc w:val="both"/>
        <w:ind w:left="1320" w:hanging="322"/>
        <w:spacing w:after="0" w:line="257"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Assess Strategic Partnerships and Acquisition Opportunities: </w:t>
      </w:r>
      <w:r>
        <w:rPr>
          <w:rFonts w:ascii="Times New Roman" w:cs="Times New Roman" w:eastAsia="Times New Roman" w:hAnsi="Times New Roman"/>
          <w:sz w:val="18"/>
          <w:szCs w:val="18"/>
          <w:color w:val="auto"/>
        </w:rPr>
        <w:t>With our acquisitions of Tile and Jiobit and our potential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and investment in Hubble (which is still in initial stages and is subject to negotiation and execution of definitive documentation), we plan to leverage our platform to continue expanding into new verticals for pets, elderly monitoring, and the things that matter most to families. These acquisitions have been successful in accelerating our platform vision, driving growth, and delivering value. We may selectively pursue partnerships or acquisitions to accelerate our platform opportunity in the future, focusing on areas of differentiation that shore up our scale and competitive advantage.</w:t>
      </w:r>
    </w:p>
    <w:p>
      <w:pPr>
        <w:spacing w:after="0" w:line="1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jc w:val="both"/>
        <w:ind w:left="680" w:right="20"/>
        <w:spacing w:after="0" w:line="282"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filings with the SEC, the ASX, the investor relations page on our website (www.life360.com), press releases, public conference calls, and public webcasts.</w:t>
      </w:r>
    </w:p>
    <w:p>
      <w:pPr>
        <w:spacing w:after="0" w:line="108"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The information disclosed through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2007 under the name of LReady, Inc. and subsequently changed our name to Life360, Inc. Our principal executive offices are located at 1900 South Norfolk Street, Suite 310, San Mateo, California 94403. Our telephone number is</w:t>
      </w:r>
    </w:p>
    <w:p>
      <w:pPr>
        <w:jc w:val="both"/>
        <w:ind w:left="680" w:right="20" w:hanging="6"/>
        <w:spacing w:after="0" w:line="255"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484-5244. Our website address is www.life360.com. Information contained on, or that can be accessed through, our website is not incorporated by reference into this prospectus, and you should not consider information on our website to be part of this prospectus. We have included our website address as an inactive textual reference only.</w:t>
      </w:r>
    </w:p>
    <w:p>
      <w:pPr>
        <w:spacing w:after="0" w:line="132"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The Life360 logo, and other trademarks, trade names or service marks of Life360, Inc. appearing in this prospectus are the property of Life360, Inc. All other trademarks, trade names and service marks appearing in this prospectus are the property of their respective owners.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The Securities We or Selling Securityholders May Offer</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or selling securityholders may offer shares of our common stock and preferred stock, if approved,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There is no limit on the aggregate amount of the securities that we or selling securityholders may offer pursuant to the</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320" w:top="121"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847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registration statement of which this prospectus is a part. We or selling securityholders may also offer common stock, preferred stock, if approved, and/or debt securities upon the exercise of warrants.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129" w:lineRule="exact"/>
        <w:rPr>
          <w:sz w:val="20"/>
          <w:szCs w:val="20"/>
          <w:color w:val="auto"/>
        </w:rPr>
      </w:pPr>
    </w:p>
    <w:p>
      <w:pPr>
        <w:ind w:left="1320" w:hanging="322"/>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71"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171"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22" w:lineRule="exact"/>
        <w:rPr>
          <w:sz w:val="20"/>
          <w:szCs w:val="20"/>
          <w:color w:val="auto"/>
        </w:rPr>
      </w:pPr>
    </w:p>
    <w:p>
      <w:pPr>
        <w:jc w:val="both"/>
        <w:ind w:left="68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05"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sell the securities directly to investors or to or through agents, underwriters or dealers. We or selling securityholders and our or their agents, underwriters or dealers, reserve the right to accept or reject all or part of any proposed purchase of securities. If we or selling securityholders do offer securities to or through agents, underwriters or dealers, we will include in the applicable prospectus supplement:</w:t>
      </w:r>
    </w:p>
    <w:p>
      <w:pPr>
        <w:spacing w:after="0" w:line="126" w:lineRule="exact"/>
        <w:rPr>
          <w:sz w:val="20"/>
          <w:szCs w:val="20"/>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underwriters or dealers;</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options to purchase additional shares or other options, if any; and</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if any.</w:t>
      </w:r>
    </w:p>
    <w:p>
      <w:pPr>
        <w:spacing w:after="0" w:line="169"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We may issue shares of our common stock from time to time, and the selling securityholders may offer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from time to time. The holders of our common stock are entitled to one vote for each share held of record on all matters submitted to a vote of stockholders. Holders of our CDIs are entitled to one vote for every three CDIs they hold. Subject to preferences that may be applicable to any outstanding shares of preferred stock, if approved, the holders of common stock are entitled to receive ratably such dividends as may be</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320" w:top="121"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265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spacing w:after="0" w:line="254" w:lineRule="auto"/>
        <w:rPr>
          <w:sz w:val="20"/>
          <w:szCs w:val="20"/>
          <w:color w:val="auto"/>
        </w:rPr>
      </w:pPr>
      <w:r>
        <w:rPr>
          <w:rFonts w:ascii="Times New Roman" w:cs="Times New Roman" w:eastAsia="Times New Roman" w:hAnsi="Times New Roman"/>
          <w:sz w:val="18"/>
          <w:szCs w:val="18"/>
          <w:color w:val="auto"/>
        </w:rPr>
        <w:t>declared by our board of directors out of legally available funds. We do not anticipate paying any cash dividends in the foreseeable future. Upon our liquidation, dissolution or winding up, holders of our common stock are entitled to share ratably in all assets remaining after payment of liabilities and the liquidation preferences of any outstanding shares of preferred stock, if approved.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the heading “Description of Capital Stock — Common Stock.” We urge you, however, to read the applicable prospectus supplement (and any related free writing prospectus that we may authorize to be provided to you) related to any common stock being offered.</w:t>
      </w:r>
    </w:p>
    <w:p>
      <w:pPr>
        <w:spacing w:after="0" w:line="136"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If stockholders approve the Share Increase Amendment and Preferred Stock Amendment at the Annual Meeting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satisfaction of the Preferred Stock Amendment Conditions (each as defined below), we may issue shares of our preferred stock from time to time, in one or more series. Our board of directors will determine 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w:t>
      </w:r>
    </w:p>
    <w:p>
      <w:pPr>
        <w:spacing w:after="0" w:line="131" w:lineRule="exact"/>
        <w:rPr>
          <w:sz w:val="20"/>
          <w:szCs w:val="20"/>
          <w:color w:val="auto"/>
        </w:rPr>
      </w:pPr>
    </w:p>
    <w:p>
      <w:pPr>
        <w:jc w:val="both"/>
        <w:ind w:left="680"/>
        <w:spacing w:after="0" w:line="254"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If we sell any series of preferred stock under this prospectus, we will file with the SEC the form of any certificate of designation that contains the terms of the series of preferred stock we are offering. In this prospectus, we have summarized certain general features of the preferred stock under the heading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when available, that will contain the terms of the applicable series of preferred stock.</w:t>
      </w:r>
    </w:p>
    <w:p>
      <w:pPr>
        <w:spacing w:after="0" w:line="136" w:lineRule="exact"/>
        <w:rPr>
          <w:sz w:val="20"/>
          <w:szCs w:val="20"/>
          <w:color w:val="auto"/>
        </w:rPr>
      </w:pPr>
    </w:p>
    <w:p>
      <w:pPr>
        <w:jc w:val="both"/>
        <w:ind w:left="680"/>
        <w:spacing w:after="0" w:line="253" w:lineRule="auto"/>
        <w:rPr>
          <w:sz w:val="20"/>
          <w:szCs w:val="20"/>
          <w:color w:val="auto"/>
        </w:rPr>
      </w:pPr>
      <w:r>
        <w:rPr>
          <w:rFonts w:ascii="Times New Roman" w:cs="Times New Roman" w:eastAsia="Times New Roman" w:hAnsi="Times New Roman"/>
          <w:sz w:val="18"/>
          <w:szCs w:val="18"/>
          <w:i w:val="1"/>
          <w:iCs w:val="1"/>
          <w:color w:val="auto"/>
        </w:rPr>
        <w:t>Debt Securities</w:t>
      </w:r>
      <w:r>
        <w:rPr>
          <w:rFonts w:ascii="Times New Roman" w:cs="Times New Roman" w:eastAsia="Times New Roman" w:hAnsi="Times New Roman"/>
          <w:sz w:val="18"/>
          <w:szCs w:val="18"/>
          <w:color w:val="auto"/>
        </w:rPr>
        <w:t>. We may issue debt securities from time to time, in one or more series, as either senior or subordinated debt or as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 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the heading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33"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We may issue warrants for the purchase of common stock, preferred stock and/or debt securities in one or more series.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issue warrants independently or in combination with common stock, preferred stock and/or debt securities.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certificates, as applicable, that contain the terms of the warrants. We have filed the forms of the warrant agreements and forms of warrant certificates containing the terms of the warrants that may be offered as exhibits to the registration statement</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320" w:top="121"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38017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6130" cy="380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26"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ind w:left="680" w:right="20"/>
        <w:spacing w:after="0" w:line="258"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Unless the applicable prospectus supplement provides otherwise, we will not receive any of the proceeds from the sale of our securities by selling securityholders. See “Use of Proceeds” in this prospectus.</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ASX under the symbol “360” in the form of CDIs. The applicable prospectus supplement will contain information, where applicable, as to other listings, if any, on any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320" w:top="12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5139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6130" cy="513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SUMMARY SELECTED CONDENSED CONSOLIDATED FINANCIAL AND OTHER DATA</w:t>
      </w:r>
    </w:p>
    <w:p>
      <w:pPr>
        <w:spacing w:after="0" w:line="173" w:lineRule="exact"/>
        <w:rPr>
          <w:sz w:val="20"/>
          <w:szCs w:val="20"/>
          <w:color w:val="auto"/>
        </w:rPr>
      </w:pPr>
    </w:p>
    <w:p>
      <w:pPr>
        <w:jc w:val="both"/>
        <w:ind w:left="68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tables summarize our selected condensed consolidated financial and other data. We derived the summary selected unaudited condensed consolidated statements of operations data for the three months ended March 31, 2024 and 2023 and the summary selected unaudited condensed consolidated balance sheet data as of March 31, 2024 from our unaudited condensed consolidated financial statements included in our Quarterly Report on Form 10-Q to be filed with the SEC on May 9, 2024 (“Quarterly Report”). We derived the summary selected consolidated statements of operations data for the fiscal years ended December 31, 2023 and 2022 and the summary selected consolidated balance sheet data as of December 31, 2023 from our audited consolidated financial statements included in our Annual Report on Form 10-K filed with the SEC on February 29, 2024 (“Annual Report”). When you read this summary of consolidated financial and other data, it is important that you read it together with the historical consolidated financial statements and the related notes included in our Annual Report and Quarterly Report, as well as the sections titled “Management’s Discussion and Analysis of Financial Condition and Results of Operations” in each of our Annual Report and Quarterly Report. Our historical results are not necessarily indicative of the results to be expected for any future period, and our interim results are not necessarily indicative of results to be expected for the full year or any other period.</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Select Financial and Other Results for the First Quarter 2024</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4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3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QoQ</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YoY</w:t>
            </w:r>
          </w:p>
        </w:tc>
        <w:tc>
          <w:tcPr>
            <w:tcW w:w="0" w:type="dxa"/>
            <w:vAlign w:val="bottom"/>
          </w:tcPr>
          <w:p>
            <w:pPr>
              <w:spacing w:after="0"/>
              <w:rPr>
                <w:sz w:val="1"/>
                <w:szCs w:val="1"/>
                <w:color w:val="auto"/>
              </w:rPr>
            </w:pPr>
          </w:p>
        </w:tc>
      </w:tr>
      <w:tr>
        <w:trPr>
          <w:trHeight w:val="195"/>
        </w:trPr>
        <w:tc>
          <w:tcPr>
            <w:tcW w:w="36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78,227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18,214</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60,013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49,830</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66,392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10,688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4"/>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74,603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70,713</w:t>
            </w:r>
          </w:p>
        </w:tc>
        <w:tc>
          <w:tcPr>
            <w:tcW w:w="100" w:type="dxa"/>
            <w:vAlign w:val="bottom"/>
          </w:tcPr>
          <w:p>
            <w:pPr>
              <w:spacing w:after="0"/>
              <w:rPr>
                <w:sz w:val="20"/>
                <w:szCs w:val="20"/>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______________</w:t>
      </w:r>
    </w:p>
    <w:p>
      <w:pPr>
        <w:spacing w:after="0" w:line="21" w:lineRule="exact"/>
        <w:rPr>
          <w:sz w:val="20"/>
          <w:szCs w:val="20"/>
          <w:color w:val="auto"/>
        </w:rPr>
      </w:pPr>
    </w:p>
    <w:p>
      <w:pPr>
        <w:ind w:left="1000" w:hanging="326"/>
        <w:spacing w:after="0" w:line="278" w:lineRule="auto"/>
        <w:tabs>
          <w:tab w:leader="none" w:pos="99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metric. See “Summary Selected Condensed Consolidated Financial and Other Data—Non-GAAP Financial Information” for a reconciliation of Adjusted EBITDA to the nearest comparable GAAP metric,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320" w:top="12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145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6130" cy="714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Key Performance Indicators for the First Quarter 2024</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ARPPC, ARPPS, and ASP)</w:t>
            </w:r>
          </w:p>
        </w:tc>
        <w:tc>
          <w:tcPr>
            <w:tcW w:w="120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3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QoQ</w:t>
            </w:r>
          </w:p>
        </w:tc>
        <w:tc>
          <w:tcPr>
            <w:tcW w:w="12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YoY</w:t>
            </w:r>
          </w:p>
        </w:tc>
        <w:tc>
          <w:tcPr>
            <w:tcW w:w="0" w:type="dxa"/>
            <w:vAlign w:val="bottom"/>
          </w:tcPr>
          <w:p>
            <w:pPr>
              <w:spacing w:after="0"/>
              <w:rPr>
                <w:sz w:val="1"/>
                <w:szCs w:val="1"/>
                <w:color w:val="auto"/>
              </w:rPr>
            </w:pPr>
          </w:p>
        </w:tc>
      </w:tr>
      <w:tr>
        <w:trPr>
          <w:trHeight w:val="195"/>
        </w:trPr>
        <w:tc>
          <w:tcPr>
            <w:tcW w:w="36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20" w:type="dxa"/>
            <w:vAlign w:val="bottom"/>
            <w:tcBorders>
              <w:top w:val="single" w:sz="8" w:color="CCEEFF"/>
            </w:tcBorders>
            <w:shd w:val="clear" w:color="auto" w:fill="CCEEFF"/>
          </w:tcPr>
          <w:p>
            <w:pPr>
              <w:ind w:left="40"/>
              <w:spacing w:after="0" w:line="214" w:lineRule="exact"/>
              <w:rPr>
                <w:sz w:val="20"/>
                <w:szCs w:val="20"/>
                <w:color w:val="auto"/>
              </w:rPr>
            </w:pPr>
            <w:r>
              <w:rPr>
                <w:rFonts w:ascii="Times New Roman" w:cs="Times New Roman" w:eastAsia="Times New Roman" w:hAnsi="Times New Roman"/>
                <w:sz w:val="18"/>
                <w:szCs w:val="18"/>
                <w:b w:val="1"/>
                <w:bCs w:val="1"/>
                <w:color w:val="auto"/>
              </w:rPr>
              <w:t>Life360 Core</w:t>
            </w:r>
            <w:r>
              <w:rPr>
                <w:rFonts w:ascii="Times New Roman" w:cs="Times New Roman" w:eastAsia="Times New Roman" w:hAnsi="Times New Roman"/>
                <w:sz w:val="23"/>
                <w:szCs w:val="23"/>
                <w:b w:val="1"/>
                <w:bCs w:val="1"/>
                <w:color w:val="auto"/>
                <w:vertAlign w:val="superscript"/>
              </w:rPr>
              <w:t>(1)</w:t>
            </w: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Monthly Active Users (MAUs) - Global</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Paying Circles - Total</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Revenue per Paying Circle (ARPPC)</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100" w:type="dxa"/>
            <w:vAlign w:val="bottom"/>
          </w:tcPr>
          <w:p>
            <w:pPr>
              <w:spacing w:after="0"/>
              <w:rPr>
                <w:sz w:val="19"/>
                <w:szCs w:val="19"/>
                <w:color w:val="auto"/>
              </w:rPr>
            </w:pP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Pr>
          <w:p>
            <w:pPr>
              <w:spacing w:after="0"/>
              <w:rPr>
                <w:sz w:val="19"/>
                <w:szCs w:val="19"/>
                <w:color w:val="auto"/>
              </w:rPr>
            </w:pP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b w:val="1"/>
                <w:bCs w:val="1"/>
                <w:color w:val="auto"/>
              </w:rPr>
              <w:t>Life360 Consolidated</w:t>
            </w:r>
            <w:r>
              <w:rPr>
                <w:rFonts w:ascii="Times New Roman" w:cs="Times New Roman" w:eastAsia="Times New Roman" w:hAnsi="Times New Roman"/>
                <w:sz w:val="23"/>
                <w:szCs w:val="23"/>
                <w:b w:val="1"/>
                <w:bCs w:val="1"/>
                <w:color w:val="auto"/>
                <w:vertAlign w:val="superscript"/>
              </w:rPr>
              <w:t>(1)</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184"/>
        </w:trPr>
        <w:tc>
          <w:tcPr>
            <w:tcW w:w="36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Average Revenue per Paying Subscription</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(ARPPS)</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tcPr>
          <w:p>
            <w:pPr>
              <w:spacing w:after="0"/>
              <w:rPr>
                <w:sz w:val="20"/>
                <w:szCs w:val="20"/>
                <w:color w:val="auto"/>
              </w:rPr>
            </w:pP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Selling Price (ASP)</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Annualized Monthly Revenue (AMR)</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right="20" w:hanging="326"/>
        <w:spacing w:after="0" w:line="283" w:lineRule="auto"/>
        <w:tabs>
          <w:tab w:leader="none" w:pos="99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performance indicators are presented in millions, except ARPPC, ARPPS, and ASP, however percentage changes are calculated based on actual results. As a result, percentage changes may not recalculate based on figures presented due to rounding.</w:t>
      </w:r>
    </w:p>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2024 Financial Highlights</w:t>
      </w:r>
    </w:p>
    <w:p>
      <w:pPr>
        <w:spacing w:after="0" w:line="175" w:lineRule="exact"/>
        <w:rPr>
          <w:sz w:val="20"/>
          <w:szCs w:val="20"/>
          <w:color w:val="auto"/>
        </w:rPr>
      </w:pPr>
    </w:p>
    <w:p>
      <w:pPr>
        <w:jc w:val="both"/>
        <w:ind w:left="680"/>
        <w:spacing w:after="0" w:line="254" w:lineRule="auto"/>
        <w:rPr>
          <w:sz w:val="20"/>
          <w:szCs w:val="20"/>
          <w:color w:val="auto"/>
        </w:rPr>
      </w:pPr>
      <w:r>
        <w:rPr>
          <w:rFonts w:ascii="Times New Roman" w:cs="Times New Roman" w:eastAsia="Times New Roman" w:hAnsi="Times New Roman"/>
          <w:sz w:val="18"/>
          <w:szCs w:val="18"/>
          <w:color w:val="auto"/>
        </w:rPr>
        <w:t>We had revenue of $78.2 million in the quarter ended March 31, 2024, an increase of 15% from our $68.1 million of revenue in the quarter ended March 31, 2023. Our net loss for the quarter ended March 31, 2024 was $9.8 million, a $4.3 million reduction from our $14.1 million net loss in the quarter ended March 31,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Adjusted EBITDA was $4.3 million in the quarter ended March 31, 2024, an increase of $3.8 million compared to Adjusted EBITDA of $0.5 million for the quarter ended March 31, 2023. Our cash flow from operations was $10.7 million for the quarter ended March 31, 2024, an improvement of $19.9 million compared to $(9.2) million in the quarter ended March 31, 2023. We had $74.6 million of cash, cash equivalents and restricted cash as of March 31, 2024. Total commissions were $11.8 million and $10.3 million and represented 19.2% and 19.9% of total subscription revenue for the three months ended March 31, 2024 and 2023, respectively.</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2024 Operating Highlights</w:t>
      </w:r>
    </w:p>
    <w:p>
      <w:pPr>
        <w:spacing w:after="0" w:line="17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MAUs grew approximately 4.9 million, or 8%, to 66.4 million for the quarter ended March 31, 2024. We had net Paying Circle additions of 96,000. Global Paying Circles grew to 1.9 million, a 21% increase over the prior year, supported by improved conversion and retention.</w:t>
      </w:r>
    </w:p>
    <w:p>
      <w:pPr>
        <w:spacing w:after="0" w:line="122" w:lineRule="exact"/>
        <w:rPr>
          <w:sz w:val="20"/>
          <w:szCs w:val="20"/>
          <w:color w:val="auto"/>
        </w:rPr>
      </w:pPr>
    </w:p>
    <w:p>
      <w:pPr>
        <w:jc w:val="both"/>
        <w:ind w:left="680" w:right="20"/>
        <w:spacing w:after="0" w:line="282" w:lineRule="auto"/>
        <w:rPr>
          <w:sz w:val="20"/>
          <w:szCs w:val="20"/>
          <w:color w:val="auto"/>
        </w:rPr>
      </w:pPr>
      <w:r>
        <w:rPr>
          <w:rFonts w:ascii="Times New Roman" w:cs="Times New Roman" w:eastAsia="Times New Roman" w:hAnsi="Times New Roman"/>
          <w:sz w:val="18"/>
          <w:szCs w:val="18"/>
          <w:color w:val="auto"/>
        </w:rPr>
        <w:t>Along with the UK Triple Tier Membership launch in October 2023, we included a price increase for existing UK subscribers in January 2024. The ANZ Triple Tier launched in late April 2024, following a price increase for existing ANZ subscribers.</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320" w:top="121" w:right="9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599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6130" cy="759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Select Financial and Other Results for the Years Ended December 31, 2023 and 2022</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1280" w:type="dxa"/>
            <w:vAlign w:val="bottom"/>
          </w:tcPr>
          <w:p>
            <w:pPr>
              <w:spacing w:after="0"/>
              <w:rPr>
                <w:sz w:val="13"/>
                <w:szCs w:val="13"/>
                <w:color w:val="auto"/>
              </w:rPr>
            </w:pPr>
          </w:p>
        </w:tc>
      </w:tr>
      <w:tr>
        <w:trPr>
          <w:trHeight w:val="194"/>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6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YoY</w:t>
            </w:r>
          </w:p>
        </w:tc>
      </w:tr>
      <w:tr>
        <w:trPr>
          <w:trHeight w:val="229"/>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228,305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61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70,713</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90,365</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______________</w:t>
      </w:r>
    </w:p>
    <w:p>
      <w:pPr>
        <w:spacing w:after="0" w:line="21" w:lineRule="exact"/>
        <w:rPr>
          <w:sz w:val="20"/>
          <w:szCs w:val="20"/>
          <w:color w:val="auto"/>
        </w:rPr>
      </w:pPr>
    </w:p>
    <w:p>
      <w:pPr>
        <w:ind w:left="1000" w:hanging="326"/>
        <w:spacing w:after="0" w:line="278" w:lineRule="auto"/>
        <w:tabs>
          <w:tab w:leader="none" w:pos="99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metric. See “Summary Selected Condensed Consolidated Financial and Other Data—Non-GAAP Financial Information” for a reconciliation of Adjusted EBITDA to the nearest comparable GAAP metric, net loss.</w:t>
      </w:r>
    </w:p>
    <w:p>
      <w:pPr>
        <w:spacing w:after="0" w:line="1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Key Performance Indicators for the Years Ended December 31, 2023 and 2022</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1280" w:type="dxa"/>
            <w:vAlign w:val="bottom"/>
          </w:tcPr>
          <w:p>
            <w:pPr>
              <w:spacing w:after="0"/>
              <w:rPr>
                <w:sz w:val="13"/>
                <w:szCs w:val="13"/>
                <w:color w:val="auto"/>
              </w:rPr>
            </w:pPr>
          </w:p>
        </w:tc>
      </w:tr>
      <w:tr>
        <w:trPr>
          <w:trHeight w:val="196"/>
        </w:trPr>
        <w:tc>
          <w:tcPr>
            <w:tcW w:w="6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6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ARPPC, ARPPS, and ASP)</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YoY</w:t>
            </w:r>
          </w:p>
        </w:tc>
      </w:tr>
      <w:tr>
        <w:trPr>
          <w:trHeight w:val="216"/>
        </w:trPr>
        <w:tc>
          <w:tcPr>
            <w:tcW w:w="6120" w:type="dxa"/>
            <w:vAlign w:val="bottom"/>
            <w:shd w:val="clear" w:color="auto" w:fill="CCEEFF"/>
          </w:tcPr>
          <w:p>
            <w:pPr>
              <w:ind w:left="40"/>
              <w:spacing w:after="0" w:line="215" w:lineRule="exact"/>
              <w:rPr>
                <w:sz w:val="20"/>
                <w:szCs w:val="20"/>
                <w:color w:val="auto"/>
              </w:rPr>
            </w:pPr>
            <w:r>
              <w:rPr>
                <w:rFonts w:ascii="Times New Roman" w:cs="Times New Roman" w:eastAsia="Times New Roman" w:hAnsi="Times New Roman"/>
                <w:sz w:val="18"/>
                <w:szCs w:val="18"/>
                <w:b w:val="1"/>
                <w:bCs w:val="1"/>
                <w:color w:val="auto"/>
              </w:rPr>
              <w:t>Life360 Core</w:t>
            </w:r>
            <w:r>
              <w:rPr>
                <w:rFonts w:ascii="Times New Roman" w:cs="Times New Roman" w:eastAsia="Times New Roman" w:hAnsi="Times New Roman"/>
                <w:sz w:val="23"/>
                <w:szCs w:val="23"/>
                <w:b w:val="1"/>
                <w:bCs w:val="1"/>
                <w:color w:val="auto"/>
                <w:vertAlign w:val="superscript"/>
              </w:rPr>
              <w:t>(1)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Monthly Active Users (MAUs) - Global</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Paying Circles - Total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Revenue per Paying Circle (ARPPC)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6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612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b w:val="1"/>
                <w:bCs w:val="1"/>
                <w:color w:val="auto"/>
              </w:rPr>
              <w:t>Life360 Consolidated (Adjusted for 2022)</w:t>
            </w:r>
            <w:r>
              <w:rPr>
                <w:rFonts w:ascii="Times New Roman" w:cs="Times New Roman" w:eastAsia="Times New Roman" w:hAnsi="Times New Roman"/>
                <w:sz w:val="23"/>
                <w:szCs w:val="23"/>
                <w:b w:val="1"/>
                <w:bCs w:val="1"/>
                <w:color w:val="auto"/>
                <w:vertAlign w:val="superscript"/>
              </w:rPr>
              <w:t>(1)(2)(3)</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Revenue per Paying Subscription (ARPPS)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Selling Price (ASP)</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Annualized Monthly Revenue (AMR)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ind w:left="1000" w:right="20" w:hanging="326"/>
        <w:spacing w:after="0" w:line="259" w:lineRule="auto"/>
        <w:tabs>
          <w:tab w:leader="none" w:pos="99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performance indicators are presented in millions, except ARPPC, ARPPS, and ASP, however percentage changes are calculated based on actual results. As a result, percentage changes may not recalculate based on figures presented due to rounding.</w:t>
      </w:r>
    </w:p>
    <w:p>
      <w:pPr>
        <w:jc w:val="both"/>
        <w:ind w:left="1000" w:hanging="326"/>
        <w:spacing w:after="0" w:line="257" w:lineRule="auto"/>
        <w:tabs>
          <w:tab w:leader="none" w:pos="99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Metrics presented as of and for the periods ended December 31, 2022 have been recast to reflect the calculations under a revised metric definition. We previously calculated Subscriptions and Paying Circles by including subscribers who had been billed as well as whose billing status was pending as of the end of the period. We have since revised our definition of these metrics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w:t>
      </w:r>
    </w:p>
    <w:p>
      <w:pPr>
        <w:spacing w:after="0" w:line="2" w:lineRule="exact"/>
        <w:rPr>
          <w:rFonts w:ascii="Times New Roman" w:cs="Times New Roman" w:eastAsia="Times New Roman" w:hAnsi="Times New Roman"/>
          <w:sz w:val="14"/>
          <w:szCs w:val="14"/>
          <w:color w:val="auto"/>
        </w:rPr>
      </w:pPr>
    </w:p>
    <w:p>
      <w:pPr>
        <w:ind w:left="1000" w:hanging="326"/>
        <w:spacing w:after="0" w:line="283" w:lineRule="auto"/>
        <w:tabs>
          <w:tab w:leader="none" w:pos="99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Metrics presented for the year ended December 31, 2022 are adjusted to include pre-acquisition data for Tile related to periods before the acquisition of Tile on January 5, 2022.</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0"/>
          </w:cols>
          <w:pgMar w:left="320" w:top="121" w:right="99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71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2023 Financial Highlights</w:t>
      </w:r>
    </w:p>
    <w:p>
      <w:pPr>
        <w:spacing w:after="0" w:line="175" w:lineRule="exact"/>
        <w:rPr>
          <w:sz w:val="20"/>
          <w:szCs w:val="20"/>
          <w:color w:val="auto"/>
        </w:rPr>
      </w:pPr>
    </w:p>
    <w:p>
      <w:pPr>
        <w:jc w:val="both"/>
        <w:ind w:left="680"/>
        <w:spacing w:after="0" w:line="255" w:lineRule="auto"/>
        <w:rPr>
          <w:sz w:val="20"/>
          <w:szCs w:val="20"/>
          <w:color w:val="auto"/>
        </w:rPr>
      </w:pPr>
      <w:r>
        <w:rPr>
          <w:rFonts w:ascii="Times New Roman" w:cs="Times New Roman" w:eastAsia="Times New Roman" w:hAnsi="Times New Roman"/>
          <w:sz w:val="18"/>
          <w:szCs w:val="18"/>
          <w:color w:val="auto"/>
        </w:rPr>
        <w:t>We had revenue of $304.5 million for the year ended December 31, 2023, an increase of 33% from our $228.3 million of revenue for the year ended December 31, 2022. Our net loss for the year ended December 31, 2023 was $28.2 million, a $63.4 million reduction from our $91.6 million net loss for the year ended December 31, 2022. Adjusted EBITDA was $20.6 million for the year ended December 31, 2023, an increase of $60.7 million compared to Adjusted EBITDA of $(40.1) million for the year ended December 31, 2022. Our cash flow from operations was $7.5 million for the year ended December 31, 2023, an improvement of $64.6 million compared to $(57.1) million for the year ended December 31, 2022. We had $70.7 million of cash, cash equivalents and restricted cash as of December 31, 2023.</w:t>
      </w:r>
    </w:p>
    <w:p>
      <w:pPr>
        <w:spacing w:after="0" w:line="13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We had subscription revenue of $220.8 million in the year ended December 31, 2023, an increase of 44% from our $153.3 million of subscription revenue in the year ended December 31, 2022, benefiting from U.S. price increases for new Paying Circles and the repricing of existing U.S. iOS and Android Paying Circles.</w:t>
      </w:r>
    </w:p>
    <w:p>
      <w:pPr>
        <w:spacing w:after="0" w:line="122"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Hardware revenue in 2023 increased 21% year-over-year, with a usual seasonal uplift in the fourth quarter of 2023. Key drivers were the 12% uplift in hardware units sold compared to 2022, stable ASP, and contribution from bundling with Life360 subscriptions. Other revenue of $25.5 million in 2023 was down slightly year-over-year, reflecting the transition to a single data partnership beginning January 2022.</w:t>
      </w:r>
    </w:p>
    <w:p>
      <w:pPr>
        <w:spacing w:after="0" w:line="126"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Total commissions expenses, which are revenue-share payments in connection with subscription sales on third-party app store platforms, were $42.7 million and $31.4 million and represented 19.3% and 20.5% of subscription revenue for the years ended December 31, 2023 and December 31, 2022, respectively.</w:t>
      </w:r>
    </w:p>
    <w:p>
      <w:pPr>
        <w:spacing w:after="0" w:line="122"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Adjusted EBITDA and Adjusted EBITDA margin improved from 2022 to 2023, driven by cost structure improvements and increased operating leverage as a result of focusing on financial discipline in our business. Adjusted EBITDA of $20.6 million and net loss of $28.2 million for the year ended December 31, 2023 both delivered a significant improvement from the prior year and reflect meaningful progress on our path to profitability. In 2023, Operating expenses increased just 4% year-over-year, and decreased 1% excluding variable commissions, reflecting our disciplined approach to costs.</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2023 Operating Highlights</w:t>
      </w:r>
    </w:p>
    <w:p>
      <w:pPr>
        <w:spacing w:after="0" w:line="175"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The Company demonstrated significant operating leverage in 2023 with revenue growth of $76.2 million on an operating expense increase of $9.6 million, yielding increasing Adjusted EBITDA margins and positive Adjusted EBITDA in each quarter. Global MAUs grew nearly 13 million or 26% to 61.4 million in 2023, driven by ongoing investment in our core location sharing experience. International MAUs grew 7 million, or 40% to 24.6 million in 2023 as we increased the speed and responsiveness of the app, and achieved international feature parity with the U.S. Our current international Triple Tier markets of focus - Canada, the UK and ANZ - all delivered significant growth, with particular outperformance in the UK and ANZ.</w:t>
      </w:r>
    </w:p>
    <w:p>
      <w:pPr>
        <w:spacing w:after="0" w:line="133"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In 2023, global net Paying Circle additions were 307,000, with global Paying Circles of 1.8 million in 2023, up 21%, despite significant price increases implemented in the third and fourth quarter of 2022 and second quarter of 2023, underscoring the value our subscribers perceive in the Life360 services. Global ARPPC was 25% higher for the year ended December 31, 2023. U.S. Average Revenue Per Paying Circle (ARPPC) increased 32% in 2023 compared to 2022, driven by price increases. International Paying Circles increased 43% from 2022 to 2023 to 474,000, benefiting from strong growth in both the UK and ANZ. Triple Tier Membership launched in the UK in October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80"/>
          </w:cols>
          <w:pgMar w:left="320" w:top="12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5036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6130" cy="503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40" w:type="dxa"/>
            <w:vAlign w:val="bottom"/>
            <w:gridSpan w:val="7"/>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960" w:type="dxa"/>
            <w:vAlign w:val="bottom"/>
          </w:tcPr>
          <w:p>
            <w:pPr>
              <w:spacing w:after="0"/>
              <w:rPr>
                <w:sz w:val="11"/>
                <w:szCs w:val="11"/>
                <w:color w:val="auto"/>
              </w:rPr>
            </w:pPr>
          </w:p>
        </w:tc>
        <w:tc>
          <w:tcPr>
            <w:tcW w:w="88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gridSpan w:val="2"/>
          </w:tcPr>
          <w:p>
            <w:pPr>
              <w:jc w:val="right"/>
              <w:ind w:right="12"/>
              <w:spacing w:after="0" w:line="136"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ARPPC, ARPPS, and ASP)</w:t>
            </w:r>
          </w:p>
        </w:tc>
        <w:tc>
          <w:tcPr>
            <w:tcW w:w="88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6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Life360 Core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Monthly Active Users (MAUs) -</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Global</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Paying Circles - Total</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84"/>
        </w:trPr>
        <w:tc>
          <w:tcPr>
            <w:tcW w:w="2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Average Revenue per Paying Circle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(ARPPC)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123.97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960" w:type="dxa"/>
            <w:vAlign w:val="bottom"/>
          </w:tcPr>
          <w:p>
            <w:pPr>
              <w:ind w:left="40"/>
              <w:spacing w:after="0" w:line="179" w:lineRule="exact"/>
              <w:rPr>
                <w:sz w:val="20"/>
                <w:szCs w:val="20"/>
                <w:color w:val="auto"/>
              </w:rPr>
            </w:pPr>
            <w:r>
              <w:rPr>
                <w:rFonts w:ascii="Times New Roman" w:cs="Times New Roman" w:eastAsia="Times New Roman" w:hAnsi="Times New Roman"/>
                <w:sz w:val="18"/>
                <w:szCs w:val="18"/>
                <w:b w:val="1"/>
                <w:bCs w:val="1"/>
                <w:color w:val="auto"/>
              </w:rPr>
              <w:t>Life360 Consolidated (Adjusted for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960" w:type="dxa"/>
            <w:vAlign w:val="bottom"/>
          </w:tcPr>
          <w:p>
            <w:pPr>
              <w:ind w:left="200"/>
              <w:spacing w:after="0" w:line="240" w:lineRule="exact"/>
              <w:rPr>
                <w:sz w:val="20"/>
                <w:szCs w:val="20"/>
                <w:color w:val="auto"/>
              </w:rPr>
            </w:pP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4"/>
        </w:trPr>
        <w:tc>
          <w:tcPr>
            <w:tcW w:w="2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Average Revenue per Paying</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 (ARPPS)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Selling Price (ASP)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Annualized Monthly Revenue (AMR)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shd w:val="clear" w:color="auto" w:fill="CCEEFF"/>
              </w:rPr>
              <w:t>284.7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239.5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248.7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259.1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274.1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274.1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224.4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139.8</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ind w:left="1000" w:hanging="326"/>
        <w:spacing w:after="0" w:line="278" w:lineRule="auto"/>
        <w:tabs>
          <w:tab w:leader="none" w:pos="99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Metrics presented for the year ended December 31, 2022 are adjusted to include pre-acquisition data for Tile related to periods before the acquisition of Tile on January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0"/>
          </w:cols>
          <w:pgMar w:left="320" w:top="121"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5736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Subscription Revenue</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sales of subscriptions on our platform, including Life360, Jiobit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Hardware Revenue</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We generate our hardware revenue from the sale of the Jiobit and Tile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also generate revenue through an arrangement with a key data partner that provides location-based analytics services to customers in the retail and real estate sectors, municipalities, and other private and public organizations. The agreement permits commercialization of certain aggregated and de-identified data and provides for fixed and variable monthly revenue amounts. Other revenue also includes advertising and partnership revenue, which represents agreements with third parties to provide access to advertising on the Company’s mobile platform.</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Annualized Monthly Revenue</w:t>
      </w:r>
    </w:p>
    <w:p>
      <w:pPr>
        <w:spacing w:after="0" w:line="175"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We use AMR to identify the annualized monthly value of active customer agreements at the end of a reporting period. AMR includes the annualized monthly value of Life360 subscription, data and partnership agreements. All components of these agreements that are not expected to recur are excluded. This does not represent revenue under GAAP on an annualized basis, as the operating metric can be impacted by start and end dates and renewal rates.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Monthly Active Users</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An MAU is defined as a unique user who engages with our Life360 branded services each month, which includes both paying and non-paying members. A Life360 MAU is defined as a unique member who engages with our Life360 application each month, which includes both paying and non-paying members.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Paying Circles</w:t>
      </w:r>
    </w:p>
    <w:p>
      <w:pPr>
        <w:spacing w:after="0" w:line="17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We define a Paying Circle as a group of Life360 members with a paying subscription that has been billed as of the end of a period. Each subscription covers all members in the payor’s Circle so everyone in the Circle can utilize the benefits of a Life360 Membership, including access to premium location, driving, digital and emergency safety insights and services.</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Paying Circle</w:t>
      </w:r>
    </w:p>
    <w:p>
      <w:pPr>
        <w:spacing w:after="0" w:line="175" w:lineRule="exact"/>
        <w:rPr>
          <w:sz w:val="20"/>
          <w:szCs w:val="20"/>
          <w:color w:val="auto"/>
        </w:rPr>
      </w:pPr>
    </w:p>
    <w:p>
      <w:pPr>
        <w:jc w:val="both"/>
        <w:ind w:left="680" w:right="20"/>
        <w:spacing w:after="0" w:line="261" w:lineRule="auto"/>
        <w:rPr>
          <w:sz w:val="20"/>
          <w:szCs w:val="20"/>
          <w:color w:val="auto"/>
        </w:rPr>
      </w:pPr>
      <w:r>
        <w:rPr>
          <w:rFonts w:ascii="Times New Roman" w:cs="Times New Roman" w:eastAsia="Times New Roman" w:hAnsi="Times New Roman"/>
          <w:sz w:val="18"/>
          <w:szCs w:val="18"/>
          <w:color w:val="auto"/>
        </w:rPr>
        <w:t>We define ARPPC as annualized subscription revenue recognized and derived from the Life360 mobile application, excluding certain revenue adjustments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175" w:lineRule="exact"/>
        <w:rPr>
          <w:sz w:val="20"/>
          <w:szCs w:val="20"/>
          <w:color w:val="auto"/>
        </w:rPr>
      </w:pPr>
    </w:p>
    <w:p>
      <w:pPr>
        <w:jc w:val="both"/>
        <w:ind w:left="680"/>
        <w:spacing w:after="0" w:line="282" w:lineRule="auto"/>
        <w:rPr>
          <w:sz w:val="20"/>
          <w:szCs w:val="20"/>
          <w:color w:val="auto"/>
        </w:rPr>
      </w:pPr>
      <w:r>
        <w:rPr>
          <w:rFonts w:ascii="Times New Roman" w:cs="Times New Roman" w:eastAsia="Times New Roman" w:hAnsi="Times New Roman"/>
          <w:sz w:val="18"/>
          <w:szCs w:val="18"/>
          <w:color w:val="auto"/>
        </w:rPr>
        <w:t>We define Subscriptions as the number of paying subscribers associated with the Life360, Jiobit and Tile brands who have been billed as of the end of the period.</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80"/>
          </w:cols>
          <w:pgMar w:left="320" w:top="121"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487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6130" cy="748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Paying Subscription</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define ARPPS as annualized total subscription revenue recognized and derived from Life360, Tile and Jiobit subscriptions, excluding certain revenue adjustments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Net Hardware Units Shipped</w:t>
      </w:r>
    </w:p>
    <w:p>
      <w:pPr>
        <w:spacing w:after="0" w:line="175"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members eligible for a Tile or Jiobit subscription.</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Net Average Selling Price</w:t>
      </w:r>
    </w:p>
    <w:p>
      <w:pPr>
        <w:spacing w:after="0" w:line="175" w:lineRule="exact"/>
        <w:rPr>
          <w:sz w:val="20"/>
          <w:szCs w:val="20"/>
          <w:color w:val="auto"/>
        </w:rPr>
      </w:pPr>
    </w:p>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To determine the net ASP of a unit, we divide hardware revenue recognized, excluding certain revenue adjustments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GAAP, we use certain non-GAAP financial measures, such as EBITDA, Adjusted EBITDA and non-GAAP operating expenses, to make operating decisions, including those related to operating expenses, evaluation performance and perform strategic planning and annual budgeting. Additionally, the non-GAAP financial information provides useful information to investors and others in understanding and evaluating our results of operations and operating efficiency, as well as providing useful measures for period-to-period comparisons of our business performance.</w:t>
      </w:r>
    </w:p>
    <w:p>
      <w:pPr>
        <w:spacing w:after="0" w:line="129"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Our non-GAAP financial measures are presented for supplemental informational purposes only, may not be comparable to similarly titled measures used by other companies and should not be used as substitutes for analysis of, or superior to, our operating results as reported under GAAP. Additionally, we do not consider our non-GAAP financial measures as superior to, or a substitute for, the equivalent measures calculated and presented in accordance with GAAP. As such, you should consider these non-GAAP financial measures in addition to other financial performance measures presented in accordance with GAAP, including various cash flow metrics, net loss and our other GAAP results.</w:t>
      </w:r>
    </w:p>
    <w:p>
      <w:pPr>
        <w:spacing w:after="0" w:line="2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adjusted to exclude (i) convertible notes and derivative liability fair value adjustments, (ii) provision for (benefit from) income taxes, (iii) depreciation and amortization, (iv) other income (expense), net, (v) stock-based compensation, (vi) Form 10 transaction costs, (vii) acquisition and integration costs, (viii) workplace restructuring costs, (ix) inventory write-offs, (x) adjustment in connection with membership benefit, (xi) warehouse relocation costs and (xii) the revaluation of contingent consideration. We define Adjusted EBITDA margin as Adjusted EBITDA as a percent of revenue.</w:t>
      </w:r>
    </w:p>
    <w:p>
      <w:pPr>
        <w:spacing w:after="0" w:line="129"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We refer to Adjusted EBITDA and Adjusted EBITDA margin because they are important measures management uses to assess our operating performance and the operating leverage in our business. Because Adjusted EBITDA and Adjusted EBITDA margin facilitate internal comparisons of our historical operating performance, including as an indication of our revenue growth and operating efficiencies, we use them to evaluate the effectiveness of our strategic initiatives and for business planning purposes. We believe that Adjusted EBITDA, and Adjusted EBITDA margin, when taken collectively, may be useful to investors because they provide consistency and comparability with past financial performance, so that investors can evaluate our operating efficiencies by</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80"/>
          </w:cols>
          <w:pgMar w:left="320" w:top="121" w:right="9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37674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6130" cy="3767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right="20"/>
        <w:spacing w:after="0" w:line="266" w:lineRule="auto"/>
        <w:rPr>
          <w:sz w:val="20"/>
          <w:szCs w:val="20"/>
          <w:color w:val="auto"/>
        </w:rPr>
      </w:pPr>
      <w:r>
        <w:rPr>
          <w:rFonts w:ascii="Times New Roman" w:cs="Times New Roman" w:eastAsia="Times New Roman" w:hAnsi="Times New Roman"/>
          <w:sz w:val="18"/>
          <w:szCs w:val="18"/>
          <w:color w:val="auto"/>
        </w:rPr>
        <w:t>excluding certain items that may not be indicative of our business, results of operations, or outlook. In addition, we believe Adjusted EBITDA is widely used by investors, securities analysts, ratings agencies, and other parties in evaluating companies in our industry as a measure of operational performance.</w:t>
      </w:r>
    </w:p>
    <w:p>
      <w:pPr>
        <w:spacing w:after="0" w:line="122"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Adjusted EBITDA and Adjusted EBITDA margin should not be considered as alternatives to net income (loss), net income (loss) as a percent of revenue, or any other measure of financial performance calculated and presented in accordance with GAAP. There are a number of limitations related to the use of Adjusted EBITDA and Adjusted EBITDA margin rather than net income (loss) and net income (loss) as a percent of revenue, which are the most directly comparable GAAP measures. Some of these limitations are that each of Adjusted EBITDA and Adjusted EBITDA margin:</w:t>
      </w:r>
    </w:p>
    <w:p>
      <w:pPr>
        <w:spacing w:after="0" w:line="129" w:lineRule="exact"/>
        <w:rPr>
          <w:sz w:val="20"/>
          <w:szCs w:val="20"/>
          <w:color w:val="auto"/>
        </w:rPr>
      </w:pPr>
    </w:p>
    <w:p>
      <w:pPr>
        <w:ind w:left="1320" w:hanging="322"/>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stock-based compensation expense;</w:t>
      </w:r>
    </w:p>
    <w:p>
      <w:pPr>
        <w:spacing w:after="0" w:line="171"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assets being depreciated may have to be replaced in the future, increasing our cash requirements;</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other income and expense; and</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income taxes that reduces cash available to us.</w:t>
      </w:r>
    </w:p>
    <w:p>
      <w:pPr>
        <w:spacing w:after="0" w:line="171"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 Because of these limitations, we consider, and you should consider, Adjusted EBITDA together with other operating and financial performance measures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80"/>
          </w:cols>
          <w:pgMar w:left="320" w:top="12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6250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6130" cy="762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3"/>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margins)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(9,777)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(14,071)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(6,541)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(28,171)</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 (91,629)</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 (33,557)</w:t>
            </w: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Net loss margin</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(deduct):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Convertible notes fair</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200"/>
              <w:spacing w:after="0" w:line="237" w:lineRule="exact"/>
              <w:rPr>
                <w:sz w:val="20"/>
                <w:szCs w:val="20"/>
                <w:color w:val="auto"/>
              </w:rPr>
            </w:pPr>
            <w:r>
              <w:rPr>
                <w:rFonts w:ascii="Times New Roman" w:cs="Times New Roman" w:eastAsia="Times New Roman" w:hAnsi="Times New Roman"/>
                <w:sz w:val="18"/>
                <w:szCs w:val="18"/>
                <w:color w:val="auto"/>
              </w:rPr>
              <w:t>value adjustment</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684</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(1,786)</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181"/>
        </w:trPr>
        <w:tc>
          <w:tcPr>
            <w:tcW w:w="19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Derivative liability fair</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60" w:type="dxa"/>
            <w:vAlign w:val="bottom"/>
            <w:shd w:val="clear" w:color="auto" w:fill="CCEEFF"/>
          </w:tcPr>
          <w:p>
            <w:pPr>
              <w:ind w:left="200"/>
              <w:spacing w:after="0" w:line="237" w:lineRule="exact"/>
              <w:rPr>
                <w:sz w:val="20"/>
                <w:szCs w:val="20"/>
                <w:color w:val="auto"/>
              </w:rPr>
            </w:pPr>
            <w:r>
              <w:rPr>
                <w:rFonts w:ascii="Times New Roman" w:cs="Times New Roman" w:eastAsia="Times New Roman" w:hAnsi="Times New Roman"/>
                <w:sz w:val="18"/>
                <w:szCs w:val="18"/>
                <w:color w:val="auto"/>
              </w:rPr>
              <w:t>value adjustment</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116</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(1,295)</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184"/>
        </w:trPr>
        <w:tc>
          <w:tcPr>
            <w:tcW w:w="1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Provision for income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14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616</w:t>
            </w: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312</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81"/>
        </w:trPr>
        <w:tc>
          <w:tcPr>
            <w:tcW w:w="19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Depreciation and</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60" w:type="dxa"/>
            <w:vAlign w:val="bottom"/>
            <w:shd w:val="clear" w:color="auto" w:fill="CCEEFF"/>
          </w:tcPr>
          <w:p>
            <w:pPr>
              <w:ind w:left="200"/>
              <w:spacing w:after="0" w:line="237"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2,273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2,276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9,141</w:t>
            </w:r>
          </w:p>
        </w:tc>
        <w:tc>
          <w:tcPr>
            <w:tcW w:w="10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9,199</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184"/>
        </w:trPr>
        <w:tc>
          <w:tcPr>
            <w:tcW w:w="1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(3,228)</w:t>
            </w:r>
          </w:p>
        </w:tc>
        <w:tc>
          <w:tcPr>
            <w:tcW w:w="1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8"/>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(4,084)</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(12,619)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(1,967)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(4,212)</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(20,842)</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 (85,212)</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 (31,386)</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40"/>
              <w:spacing w:after="0" w:line="171" w:lineRule="exact"/>
              <w:rPr>
                <w:sz w:val="20"/>
                <w:szCs w:val="20"/>
                <w:color w:val="auto"/>
              </w:rPr>
            </w:pPr>
            <w:r>
              <w:rPr>
                <w:rFonts w:ascii="Times New Roman" w:cs="Times New Roman" w:eastAsia="Times New Roman" w:hAnsi="Times New Roman"/>
                <w:sz w:val="18"/>
                <w:szCs w:val="18"/>
                <w:color w:val="auto"/>
              </w:rPr>
              <w:t>Stock-based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8,955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9,454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38,512</w:t>
            </w: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34,680</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11,938</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Form 10 transaction costs</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3,766</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1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Acquisition and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integration costs</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11,949</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181"/>
        </w:trPr>
        <w:tc>
          <w:tcPr>
            <w:tcW w:w="19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Workplace restructuring</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60" w:type="dxa"/>
            <w:vAlign w:val="bottom"/>
            <w:shd w:val="clear" w:color="auto" w:fill="CCEEFF"/>
          </w:tcPr>
          <w:p>
            <w:pPr>
              <w:ind w:left="200"/>
              <w:spacing w:after="0" w:line="237"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3,254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4,024</w:t>
            </w:r>
          </w:p>
        </w:tc>
        <w:tc>
          <w:tcPr>
            <w:tcW w:w="10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19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Write-off of obsolete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200"/>
              <w:spacing w:after="0" w:line="237" w:lineRule="exact"/>
              <w:rPr>
                <w:sz w:val="20"/>
                <w:szCs w:val="20"/>
                <w:color w:val="auto"/>
              </w:rPr>
            </w:pPr>
            <w:r>
              <w:rPr>
                <w:rFonts w:ascii="Times New Roman" w:cs="Times New Roman" w:eastAsia="Times New Roman" w:hAnsi="Times New Roman"/>
                <w:sz w:val="18"/>
                <w:szCs w:val="18"/>
                <w:color w:val="auto"/>
              </w:rPr>
              <w:t>inventory</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916</w:t>
            </w: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19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Adjustment in connection</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with membership</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(2,172)</w:t>
            </w:r>
          </w:p>
        </w:tc>
        <w:tc>
          <w:tcPr>
            <w:tcW w:w="104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benefit</w:t>
            </w:r>
            <w:r>
              <w:rPr>
                <w:rFonts w:ascii="Times New Roman" w:cs="Times New Roman" w:eastAsia="Times New Roman" w:hAnsi="Times New Roman"/>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Warehouse relocation</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200"/>
              <w:spacing w:after="0" w:line="237"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3"/>
                <w:szCs w:val="23"/>
                <w:color w:val="auto"/>
                <w:vertAlign w:val="superscript"/>
              </w:rPr>
              <w:t>(6)</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121</w:t>
            </w: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19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(Gain)/loss on revaluation</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of contingent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(5,279)</w:t>
            </w:r>
          </w:p>
        </w:tc>
        <w:tc>
          <w:tcPr>
            <w:tcW w:w="9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consideration</w:t>
            </w: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4,282</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5,686</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5,479</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8,887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20,559</w:t>
            </w:r>
          </w:p>
        </w:tc>
        <w:tc>
          <w:tcPr>
            <w:tcW w:w="10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 (40,096)</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 (13,104)</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ind w:left="1000" w:hanging="326"/>
        <w:spacing w:after="0"/>
        <w:tabs>
          <w:tab w:leader="none" w:pos="10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the change in fair value of the September 2021 Convertible Notes and derivative liability associated with the July 2021 Convertible Notes.</w:t>
      </w:r>
    </w:p>
    <w:p>
      <w:pPr>
        <w:spacing w:after="0" w:line="11"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on fixed assets and amortization of acquired intangible assets.</w:t>
      </w:r>
    </w:p>
    <w:p>
      <w:pPr>
        <w:spacing w:after="0" w:line="14"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non-recurring personnel and severance related expenses in connection with the workplace restructuring announced on January 12, 2023.</w:t>
      </w:r>
    </w:p>
    <w:p>
      <w:pPr>
        <w:spacing w:after="0" w:line="4"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the write-off of raw materials that have no alternative use to the Company following the decision to halt development.</w:t>
      </w:r>
    </w:p>
    <w:p>
      <w:pPr>
        <w:spacing w:after="0" w:line="11" w:lineRule="exact"/>
        <w:rPr>
          <w:rFonts w:ascii="Times New Roman" w:cs="Times New Roman" w:eastAsia="Times New Roman" w:hAnsi="Times New Roman"/>
          <w:sz w:val="14"/>
          <w:szCs w:val="14"/>
          <w:color w:val="auto"/>
        </w:rPr>
      </w:pPr>
    </w:p>
    <w:p>
      <w:pPr>
        <w:ind w:left="1000" w:hanging="326"/>
        <w:spacing w:after="0" w:line="261" w:lineRule="auto"/>
        <w:tabs>
          <w:tab w:leader="none" w:pos="99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an adjustment recorded to reduce product costs recorded to cost of revenue in connection with the discontinuation of certain battery related membership benefits.</w:t>
      </w:r>
    </w:p>
    <w:p>
      <w:pPr>
        <w:ind w:left="1000" w:hanging="326"/>
        <w:spacing w:after="0"/>
        <w:tabs>
          <w:tab w:leader="none" w:pos="10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non-recurring warehouse relocation costs in relation to the Company’s transition to a new logistics partner.</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0"/>
          </w:cols>
          <w:pgMar w:left="320" w:top="121" w:right="99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21043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6130" cy="2104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GAAP to Non-GAAP Operating Expense Reconciliation</w:t>
      </w:r>
    </w:p>
    <w:p>
      <w:pPr>
        <w:spacing w:after="0" w:line="229"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8"/>
          <w:szCs w:val="18"/>
          <w:color w:val="auto"/>
        </w:rPr>
        <w:t>Non-GAAP operating expenses present direct and indirect expenses adjusted for non-recurring, non-cash expenses, such as stock-based compensation, depreciation and amortization, workplace restructuring costs, write-off of obsolete inventory, and convertible notes and derivative liability fair value adjustments. Non-GAAP operating expense information is useful to investors and others in understanding and evaluating our operating efficiency as well as providing a useful measure for period-to-period comparisons of our business performance. A reconciliation of GAAP operating expenses to non-GAAP operating expenses has been provided as supplementary information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80"/>
          </w:cols>
          <w:pgMar w:left="320" w:top="12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871"/>
        </w:trPr>
        <w:tc>
          <w:tcPr>
            <w:tcW w:w="660" w:type="dxa"/>
            <w:vAlign w:val="bottom"/>
            <w:tcBorders>
              <w:top w:val="single" w:sz="8" w:color="auto"/>
              <w:left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gridSpan w:val="7"/>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 w:type="dxa"/>
            <w:vAlign w:val="bottom"/>
            <w:tcBorders>
              <w:left w:val="single" w:sz="8" w:color="auto"/>
            </w:tcBorders>
          </w:tcPr>
          <w:p>
            <w:pPr>
              <w:spacing w:after="0"/>
              <w:rPr>
                <w:sz w:val="2"/>
                <w:szCs w:val="2"/>
                <w:color w:val="auto"/>
              </w:rPr>
            </w:pPr>
          </w:p>
        </w:tc>
        <w:tc>
          <w:tcPr>
            <w:tcW w:w="26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9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 w:type="dxa"/>
            <w:vAlign w:val="bottom"/>
            <w:tcBorders>
              <w:left w:val="single" w:sz="8" w:color="auto"/>
            </w:tcBorders>
          </w:tcPr>
          <w:p>
            <w:pPr>
              <w:spacing w:after="0"/>
              <w:rPr>
                <w:sz w:val="11"/>
                <w:szCs w:val="11"/>
                <w:color w:val="auto"/>
              </w:rPr>
            </w:pPr>
          </w:p>
        </w:tc>
        <w:tc>
          <w:tcPr>
            <w:tcW w:w="2640" w:type="dxa"/>
            <w:vAlign w:val="bottom"/>
          </w:tcPr>
          <w:p>
            <w:pPr>
              <w:spacing w:after="0"/>
              <w:rPr>
                <w:sz w:val="11"/>
                <w:szCs w:val="11"/>
                <w:color w:val="auto"/>
              </w:rPr>
            </w:pPr>
          </w:p>
        </w:tc>
        <w:tc>
          <w:tcPr>
            <w:tcW w:w="900" w:type="dxa"/>
            <w:vAlign w:val="bottom"/>
            <w:tcBorders>
              <w:top w:val="single" w:sz="8" w:color="auto"/>
            </w:tcBorders>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top w:val="single" w:sz="8" w:color="auto"/>
            </w:tcBorders>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top w:val="single" w:sz="8" w:color="auto"/>
            </w:tcBorders>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2"/>
              <w:spacing w:after="0" w:line="131" w:lineRule="exact"/>
              <w:rPr>
                <w:sz w:val="20"/>
                <w:szCs w:val="20"/>
                <w:color w:val="auto"/>
              </w:rPr>
            </w:pPr>
            <w:r>
              <w:rPr>
                <w:rFonts w:ascii="Times New Roman" w:cs="Times New Roman" w:eastAsia="Times New Roman" w:hAnsi="Times New Roman"/>
                <w:sz w:val="14"/>
                <w:szCs w:val="14"/>
                <w:b w:val="1"/>
                <w:bCs w:val="1"/>
                <w:color w:val="auto"/>
                <w:w w:val="98"/>
              </w:rPr>
              <w:t>December</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60" w:type="dxa"/>
            <w:vAlign w:val="bottom"/>
            <w:tcBorders>
              <w:left w:val="single" w:sz="8" w:color="auto"/>
            </w:tcBorders>
          </w:tcPr>
          <w:p>
            <w:pPr>
              <w:spacing w:after="0"/>
              <w:rPr>
                <w:sz w:val="16"/>
                <w:szCs w:val="16"/>
                <w:color w:val="auto"/>
              </w:rPr>
            </w:pPr>
          </w:p>
        </w:tc>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60" w:type="dxa"/>
            <w:vAlign w:val="bottom"/>
            <w:tcBorders>
              <w:left w:val="single" w:sz="8" w:color="auto"/>
            </w:tcBorders>
          </w:tcPr>
          <w:p>
            <w:pPr>
              <w:spacing w:after="0"/>
              <w:rPr>
                <w:sz w:val="14"/>
                <w:szCs w:val="14"/>
                <w:color w:val="auto"/>
              </w:rPr>
            </w:pPr>
          </w:p>
        </w:tc>
        <w:tc>
          <w:tcPr>
            <w:tcW w:w="2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60" w:type="dxa"/>
            <w:vAlign w:val="bottom"/>
            <w:tcBorders>
              <w:left w:val="single" w:sz="8" w:color="auto"/>
            </w:tcBorders>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 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50,994</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Depreciation and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GAAP</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Severance and other, GAAP</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60" w:type="dxa"/>
            <w:vAlign w:val="bottom"/>
            <w:tcBorders>
              <w:left w:val="single" w:sz="8" w:color="auto"/>
            </w:tcBorders>
          </w:tcPr>
          <w:p>
            <w:pPr>
              <w:spacing w:after="0"/>
              <w:rPr>
                <w:sz w:val="14"/>
                <w:szCs w:val="14"/>
                <w:color w:val="auto"/>
              </w:rPr>
            </w:pPr>
          </w:p>
        </w:tc>
        <w:tc>
          <w:tcPr>
            <w:tcW w:w="2640" w:type="dxa"/>
            <w:vAlign w:val="bottom"/>
            <w:tcBorders>
              <w:top w:val="single" w:sz="8" w:color="CCEEFF"/>
            </w:tcBorders>
            <w:shd w:val="clear" w:color="auto" w:fill="CCEEFF"/>
          </w:tcPr>
          <w:p>
            <w:pPr>
              <w:ind w:left="40"/>
              <w:spacing w:after="0" w:line="164"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17,864</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19,075</w:t>
            </w: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76,145</w:t>
            </w: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82,527</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43,537</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60" w:type="dxa"/>
            <w:vAlign w:val="bottom"/>
            <w:tcBorders>
              <w:left w:val="single" w:sz="8" w:color="auto"/>
            </w:tcBorders>
          </w:tcPr>
          <w:p>
            <w:pPr>
              <w:spacing w:after="0"/>
              <w:rPr>
                <w:sz w:val="19"/>
                <w:szCs w:val="19"/>
                <w:color w:val="auto"/>
              </w:rPr>
            </w:pPr>
          </w:p>
        </w:tc>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Non-GAAP</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Sales and marketing expense,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47,473</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Depreciation and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GAAP</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Severance and other, GAAP</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60" w:type="dxa"/>
            <w:vAlign w:val="bottom"/>
            <w:tcBorders>
              <w:left w:val="single" w:sz="8" w:color="auto"/>
            </w:tcBorders>
          </w:tcPr>
          <w:p>
            <w:pPr>
              <w:spacing w:after="0"/>
              <w:rPr>
                <w:sz w:val="14"/>
                <w:szCs w:val="14"/>
                <w:color w:val="auto"/>
              </w:rPr>
            </w:pPr>
          </w:p>
        </w:tc>
        <w:tc>
          <w:tcPr>
            <w:tcW w:w="2640" w:type="dxa"/>
            <w:vAlign w:val="bottom"/>
            <w:tcBorders>
              <w:top w:val="single" w:sz="8" w:color="CCEEFF"/>
            </w:tcBorders>
            <w:shd w:val="clear" w:color="auto" w:fill="CCEEFF"/>
          </w:tcPr>
          <w:p>
            <w:pPr>
              <w:ind w:left="40"/>
              <w:spacing w:after="0" w:line="164" w:lineRule="exact"/>
              <w:rPr>
                <w:sz w:val="20"/>
                <w:szCs w:val="20"/>
                <w:color w:val="auto"/>
              </w:rPr>
            </w:pPr>
            <w:r>
              <w:rPr>
                <w:rFonts w:ascii="Times New Roman" w:cs="Times New Roman" w:eastAsia="Times New Roman" w:hAnsi="Times New Roman"/>
                <w:sz w:val="18"/>
                <w:szCs w:val="18"/>
                <w:color w:val="auto"/>
              </w:rPr>
              <w:t>Total Sales and marketing expense,</w:t>
            </w: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w:t>
            </w: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90,912</w:t>
            </w: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83,811</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46,575</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60" w:type="dxa"/>
            <w:vAlign w:val="bottom"/>
            <w:tcBorders>
              <w:left w:val="single" w:sz="8" w:color="auto"/>
            </w:tcBorders>
          </w:tcPr>
          <w:p>
            <w:pPr>
              <w:spacing w:after="0"/>
              <w:rPr>
                <w:sz w:val="19"/>
                <w:szCs w:val="19"/>
                <w:color w:val="auto"/>
              </w:rPr>
            </w:pPr>
          </w:p>
        </w:tc>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Non-GAAP</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 GAAP</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23,670</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Depreciation and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GAAP</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2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Severance and other, GAAP</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60" w:type="dxa"/>
            <w:vAlign w:val="bottom"/>
            <w:tcBorders>
              <w:left w:val="single" w:sz="8" w:color="auto"/>
            </w:tcBorders>
          </w:tcPr>
          <w:p>
            <w:pPr>
              <w:spacing w:after="0"/>
              <w:rPr>
                <w:sz w:val="14"/>
                <w:szCs w:val="14"/>
                <w:color w:val="auto"/>
              </w:rPr>
            </w:pPr>
          </w:p>
        </w:tc>
        <w:tc>
          <w:tcPr>
            <w:tcW w:w="2640" w:type="dxa"/>
            <w:vAlign w:val="bottom"/>
            <w:shd w:val="clear" w:color="auto" w:fill="CCEEFF"/>
          </w:tcPr>
          <w:p>
            <w:pPr>
              <w:ind w:left="40"/>
              <w:spacing w:after="0" w:line="164" w:lineRule="exact"/>
              <w:rPr>
                <w:sz w:val="20"/>
                <w:szCs w:val="20"/>
                <w:color w:val="auto"/>
              </w:rPr>
            </w:pPr>
            <w:r>
              <w:rPr>
                <w:rFonts w:ascii="Times New Roman" w:cs="Times New Roman" w:eastAsia="Times New Roman" w:hAnsi="Times New Roman"/>
                <w:sz w:val="18"/>
                <w:szCs w:val="18"/>
                <w:color w:val="auto"/>
              </w:rPr>
              <w:t>Total General and administrative</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60" w:type="dxa"/>
            <w:vAlign w:val="bottom"/>
            <w:tcBorders>
              <w:left w:val="single" w:sz="8" w:color="auto"/>
            </w:tcBorders>
          </w:tcPr>
          <w:p>
            <w:pPr>
              <w:spacing w:after="0"/>
              <w:rPr>
                <w:sz w:val="19"/>
                <w:szCs w:val="19"/>
                <w:color w:val="auto"/>
              </w:rPr>
            </w:pPr>
          </w:p>
        </w:tc>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 Non-GAAP</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 GAAP</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122,137</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Depreciation and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GAAP</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6"/>
                <w:szCs w:val="16"/>
                <w:color w:val="auto"/>
              </w:rPr>
            </w:pPr>
          </w:p>
        </w:tc>
        <w:tc>
          <w:tcPr>
            <w:tcW w:w="26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Less: 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2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Severance and other, GAAP</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60" w:type="dxa"/>
            <w:vAlign w:val="bottom"/>
            <w:tcBorders>
              <w:left w:val="single" w:sz="8" w:color="auto"/>
            </w:tcBorders>
          </w:tcPr>
          <w:p>
            <w:pPr>
              <w:spacing w:after="0"/>
              <w:rPr>
                <w:sz w:val="14"/>
                <w:szCs w:val="14"/>
                <w:color w:val="auto"/>
              </w:rPr>
            </w:pPr>
          </w:p>
        </w:tc>
        <w:tc>
          <w:tcPr>
            <w:tcW w:w="2640" w:type="dxa"/>
            <w:vAlign w:val="bottom"/>
            <w:shd w:val="clear" w:color="auto" w:fill="CCEEFF"/>
          </w:tcPr>
          <w:p>
            <w:pPr>
              <w:ind w:left="40"/>
              <w:spacing w:after="0" w:line="164" w:lineRule="exact"/>
              <w:rPr>
                <w:sz w:val="20"/>
                <w:szCs w:val="20"/>
                <w:color w:val="auto"/>
              </w:rPr>
            </w:pPr>
            <w:r>
              <w:rPr>
                <w:rFonts w:ascii="Times New Roman" w:cs="Times New Roman" w:eastAsia="Times New Roman" w:hAnsi="Times New Roman"/>
                <w:sz w:val="18"/>
                <w:szCs w:val="18"/>
                <w:color w:val="auto"/>
              </w:rPr>
              <w:t>Total Operating expenses, Non-</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57,293</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48,613</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54,049</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206,802</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195,159</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103,793</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60" w:type="dxa"/>
            <w:vAlign w:val="bottom"/>
            <w:tcBorders>
              <w:left w:val="single" w:sz="8" w:color="auto"/>
            </w:tcBorders>
          </w:tcPr>
          <w:p>
            <w:pPr>
              <w:spacing w:after="0"/>
              <w:rPr>
                <w:sz w:val="19"/>
                <w:szCs w:val="19"/>
                <w:color w:val="auto"/>
              </w:rPr>
            </w:pPr>
          </w:p>
        </w:tc>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660" w:type="dxa"/>
            <w:vAlign w:val="bottom"/>
            <w:tcBorders>
              <w:left w:val="single" w:sz="8" w:color="auto"/>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-5565140</wp:posOffset>
            </wp:positionV>
            <wp:extent cx="6283325" cy="265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283325"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-5033645</wp:posOffset>
            </wp:positionV>
            <wp:extent cx="628332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-4622165</wp:posOffset>
            </wp:positionV>
            <wp:extent cx="628332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283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-4184650</wp:posOffset>
            </wp:positionV>
            <wp:extent cx="6283325"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283325"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-3653155</wp:posOffset>
            </wp:positionV>
            <wp:extent cx="628332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-3241675</wp:posOffset>
            </wp:positionV>
            <wp:extent cx="628332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283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-2804795</wp:posOffset>
            </wp:positionV>
            <wp:extent cx="6283325" cy="265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283325"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-2273300</wp:posOffset>
            </wp:positionV>
            <wp:extent cx="628332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-1861820</wp:posOffset>
            </wp:positionV>
            <wp:extent cx="628332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283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-1544320</wp:posOffset>
            </wp:positionV>
            <wp:extent cx="6283325"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283325" cy="2654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-1012825</wp:posOffset>
            </wp:positionV>
            <wp:extent cx="628332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2833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titled “Risk Factors” contained in our most recent Annual Report on Form 10-K, as well as any amendments thereto reflected in subsequent Quarterly Reports on Form 10-Q and other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below titled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herein by reference, contain “forward-looking statements” within the meaning of Section 27A of the Securities Act and Section 21E of the Securities Exchange Act of 1934, as amended (the “Exchange Act”).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“may,” “might,” “will,” “could,” “would,” “should,” “expect,” “plan,” “anticipate,” “intend,” “seek,” “believe,” “estimate,” “predict,” “potential,” “continue,” “contemplate,” “possible” or the negative of these words or other similar terms or expressions. These forward-looking statements include, but are not limited to, statements concerning the following:</w:t>
      </w:r>
    </w:p>
    <w:p>
      <w:pPr>
        <w:spacing w:after="0" w:line="135" w:lineRule="exact"/>
        <w:rPr>
          <w:sz w:val="20"/>
          <w:szCs w:val="20"/>
          <w:color w:val="auto"/>
        </w:rPr>
      </w:pPr>
    </w:p>
    <w:p>
      <w:pPr>
        <w:ind w:left="66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penetrate our existing member base, maintain and expand our member base, increase monetization of our member base, and leverage our core experience to expand in new use cases;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value and reputation of our brands;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increase brand awareness and customer adoption of our platform through various programs and digital and broad-scale advertising;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developments, and challenges in our industry, business and in the markets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and business plan and our ability to effectively manage our growth and meet future capital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product offerings internationally and the significance of our global opportunity;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location sharing services, tracking products and digital subscription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increase our targeted marketing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 including suppliers, manufacturers and fulfillment partners;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the success of, new monetization features, such as the introduction of advertisements in our app, and improve on existing features;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seasonal trends and increased sales on our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skilled personnel, including key members of senior management;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and integrate companies and assets, including Tile and Jiobit, and to expand and diversify our operations through strategic acquisitions and partnerships;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 partnership with Hubble and successfully build a global finding network;</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future financial performance, including our expectations regarding our revenue, cost of revenue, and operating expenses, and our ability to achieve or maintain future profitability;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 economic downturn or economic uncertainty on consumer discretionary spending and demand for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projected growth or trend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use of proceeds from offerings under this prospectus and any related prospectus supplement.</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and uncertainties under the heading “Risk Factors” contained in the applicable prospectus supplement, in any free writing prospectuses we may authorize for use in connection with a specific offering, and in our most recent Annual Report on Form 10-K, as updated, amended, or superseded by the risks and uncertainties described under similar headings in our subsequent Quarterly Reports on Form 10-Q and other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provides otherwise, we will not receive any of the proceeds from the sale of our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Certificate of Incorporation and Bylaws are summaries and are qualified by reference to the Certificate of Incorporation and the Bylaws. Copies of these documents are filed with the SEC as exhibits to our registration statement, of which this prospectus forms a part.</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 2024, our board of directors adopted resolutions approving, subject to stockholder approval, amendments to our Certificate of Incorporation (i) to increase the authorized number of shares of our common stock from 100,000,000 shares to 500,000,000 shares (the “Share Increase Amendment”); (ii) to authorize 50,000,000 shares of “blank check” preferred stock, issuable in one or more series (the “Preferred Stock Amendment”); (iii) to permit the chairperson of the board of directors, the board of directors, or the chief executive officer of the Company to call a special meeting of our stockholders, with the effect of removing the ability of certain stockholders to call a special meeting (the “Special Meeting Amendment”); (iv) to eliminate or limit the liability of the Company’s officers to the extent permitted under Delaware law; and (v) to add a new provision that, unless the Company selects or consents in writing to the selection of an alternative forum, the sole and exclusive forum for the resolution of any complainant asserting a cause of action arising under the Securities Act shall be the U.S. federal district courts (such amendments, collectively, “Charter Amendment Proposals”). If stockholders approve any of the Charter Amendment Proposals at our Annual Meeting of Stockholders to be held on May 30, 2024 (the “Annual Meeting”), we expect to file a certificate of amendment to our Certificate of Incorporation with the Secretary of State of the State of Delaware setting forth the amendments contemplated by any proposals that are approved by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authorized capital stock currently consists of 100,000,000 shares, all with a par value $0.001 per share, all of which are designated as common stock. As of March 31, 2024, we had 69,440,062 shares of our common stock outstanding, including all shares of our common stock underlying all issued and outstanding CDIs.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2024, our board of directors adopted resolutions approving, subject to stockholder approval, (i) the Share Increase Amendment and (ii) the Preferred Stock Amendment. The Preferred Stock Amendment is conditional on each of (i) the approval and effectiveness of the Share Increase Amendment, (ii) the consummation of a public offering of our common stock and related listing on a national securities exchange in the United States, if any, and (iii) changing our admission category on the ASX to a “Foreign Exempt Listing,” such change to admission category being subject to the listing rules of the ASX that govern the admission, quotation and removal of securities from the ASX official list, as amended from time to time (such conditions, the “Preferred Stock Amendment Conditions”).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stockholders approve the Share Increase Amendment and Preferred Stock Amendment at the Annual Meeting and subject to the satisfaction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Amendment Conditions, our authorized capital stock will consist of 550,000,000 shares, all with a par value of $0.001 per share, of which:</w:t>
      </w:r>
    </w:p>
    <w:p>
      <w:pPr>
        <w:spacing w:after="0" w:line="153"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will be designated as common stock;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will be designated as preferred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our common stock is entitled to one vote for each share of common stock held on all matters submitted to a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except as otherwise expressly provided in our Certificate of Incorporation or required by applicable law. Holders of our CDIs are entitled to one vote for every three CDIs they hold. Cumulative voting for the election of directors is not provided for in our Certificate of Incorporation, which means that the directors then standing for election can be elected by a plurality of votes of shares of common stock cast at the election.</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and Distributions. </w:t>
      </w:r>
      <w:r>
        <w:rPr>
          <w:rFonts w:ascii="Times New Roman" w:cs="Times New Roman" w:eastAsia="Times New Roman" w:hAnsi="Times New Roman"/>
          <w:sz w:val="18"/>
          <w:szCs w:val="18"/>
          <w:color w:val="auto"/>
        </w:rPr>
        <w:t>Subject to preferences that may apply to any shares of preferred stock outstanding at the time, if approved, or any prior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apply to shares of our common stock outstanding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holders of outstanding shares of our common stock are entitled to receive dividends out of funds legally available at the times and in the amounts that our board of directors may determine. We do not anticipate paying any cash dividends in the foreseeable future.</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ratably among the holders of our common stock and, if approved, any participating preferred stock outstanding at that time after payment of liquidation preferences, if any, on any outstanding shares of preferred stock and payment of other claims of creditors.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holders of our common stock are subject to, and may be adversely affected by, the rights of holders of shares of any series of preferred stock that we may designate and issue in the future, if approved.</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Preemptive or Similar Rights</w:t>
      </w:r>
      <w:r>
        <w:rPr>
          <w:rFonts w:ascii="Times New Roman" w:cs="Times New Roman" w:eastAsia="Times New Roman" w:hAnsi="Times New Roman"/>
          <w:sz w:val="18"/>
          <w:szCs w:val="18"/>
          <w:color w:val="auto"/>
        </w:rPr>
        <w:t>. Our common stock is not entitled to preemptive rights and is not subject to conversion, redemption or sinking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stockholders approve the Share Increase Amendment and Preferred Stock Amendment at the Annual Meeting and subject to the satisfaction of the Preferred Stock Amendment Conditions, our board of directors may, without further action by our stockholders, fix the rights, preferences, privileges and restrictions of up to an aggregate of 50,000,000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these holders will receive dividend payments and payments upon liquidation. In addition, the issuance of preferred stock could have the effect of delaying, deferring or preventing a change of control or other corporate action. We have no present plan to issue any shares of preferred stock.</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If stockholders approve the Share Increase Amendment and Preferred Stock Amendment at the Annual Meeting and subject to the satisfaction of the Preferred Stock Amendment Conditions, we will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129"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applicable;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applicable;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of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United States federal income tax considerations applicable to the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CHESS Depositary Interests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our common stock are traded on the ASX in the form of CDIs, under the ASX trading code “360.” Shares of our common stock are not traded on the ASX because ASX’s electronic settlement system, known as CHESS, cannot be used for the transfer of securities of issuers incorporated in certain countries including the United States. CDIs have been created to facilitate electronic settlement and transfer in Australia for companies in this situation. Legal title to the shares of our common stock underlying the CDIs is held by CDN, an Australian depositary nominee.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CDIs are units of beneficial ownership in shares of our common stock. Each CDI represents a beneficial interest in one-third of a share of our common stock. The CDI holders receive all direct economic and other benefits of shares of our common stock on a 3-for-1 basis. The CDIs may be transmuted into shares of our common stock on a 3-for-1 basis at the election of the CDI holder.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differences between holding CDIs and shares of our common stock. The major differences are that:</w:t>
      </w:r>
    </w:p>
    <w:p>
      <w:pPr>
        <w:spacing w:after="0" w:line="171" w:lineRule="exact"/>
        <w:rPr>
          <w:sz w:val="20"/>
          <w:szCs w:val="20"/>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holders do not have legal title in the underlying shares of our common stock to which the CDIs relate (the chain of title in the shares underlying the CDIs is summarized above);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holders are not able to vote personally as stockholders at a meeting of Life360. Instead, CDI holders are provided with a voting instruction form which will enable them to instruct the depositary nominee in relation to the exercise of voting rights.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Alternatively, CDI holders can transmute their CDIs into shares of our common stock in sufficient time before the relevant meeting, in which case they will be able to vote personally as stockholders of Life360.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Some provisions of Delaware law, our Certificate of Incorporation, including if further amended by any of the Charter Amendment Proposals, and Bylaws, contain provisions that could make the following transactions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 that a special meeting of stockholders may be called by our board of directors, the chairperson of our board of directors, chief executive officer, president, or by one or more stockholders holding shares in the aggregate entitled to cast not less than 10 percent of the votes at the meeting.</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stockholders approve the Special Meeting Amendment, our Bylaws will be amended to remove the ability of certain stockholders to call a special meeting.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the nomination of candidates for election as directors, other than nominations made by or at the direction of the board of directors or a committee of the board of directors. These procedures require all nominations of candidates for election as directors to be received no later than 35 business days prior to the date of the annual meeting.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eliminate the right of stockholders to act by written consent without a meeting, which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Members of our board of directors may be removed from office for cause by a majority of our stockholders. In addition, the Bylaws provide that any newly created directorship on our board of directors that results from an increase in the number of directors and any vacancy occurring on our board of directors may only be filled by a majority of the directors then in office, although less than a quorum, or by a sole remaining director (and not by the stockholders).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General Corporation Law</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08" w:lineRule="exact"/>
        <w:rPr>
          <w:sz w:val="20"/>
          <w:szCs w:val="20"/>
          <w:color w:val="auto"/>
        </w:rPr>
      </w:pPr>
    </w:p>
    <w:p>
      <w:pPr>
        <w:ind w:left="6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business combination to include the following:</w:t>
      </w:r>
    </w:p>
    <w:p>
      <w:pPr>
        <w:spacing w:after="0" w:line="171"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loss, advances, guarantees, pledges or other financial benefits by or through the corporation.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ASX under the symbol “360” in the form of CDIs. The applicable prospectus supplement will contain information, where applicable, as to other listings, if any, on any other securities exchange of the securities covered by the applicable prospectus supplement.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including shares underlying all issued and outstanding CDIs, is Computershare Trust Company, N.A. The transfer agent and registrar’s address is 250 Royall Street, Canton, MA 02021, and its telephone number is (866) 595-6048.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may be offered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or selling securityholders may offer under this prospectus, as well as the complete indenture that contains the terms of the debt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71"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08" w:lineRule="exact"/>
        <w:rPr>
          <w:sz w:val="20"/>
          <w:szCs w:val="20"/>
          <w:color w:val="auto"/>
        </w:rPr>
      </w:pPr>
    </w:p>
    <w:p>
      <w:pPr>
        <w:jc w:val="both"/>
        <w:ind w:left="660" w:hanging="328"/>
        <w:spacing w:after="0" w:line="266"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29"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108"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71"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occurrence, or the occurrence and the continuance, of a default in any such additional covenants, restrictions, conditions or provisions an event of default or to surrender any right or power conferred upon us in the indenture;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26"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108"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71" w:lineRule="exact"/>
        <w:rPr>
          <w:sz w:val="20"/>
          <w:szCs w:val="20"/>
          <w:color w:val="auto"/>
        </w:rPr>
      </w:pPr>
    </w:p>
    <w:p>
      <w:pPr>
        <w:jc w:val="both"/>
        <w:ind w:left="660" w:hanging="328"/>
        <w:spacing w:after="0" w:line="266"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or selling securityholders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71"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171" w:lineRule="exact"/>
        <w:rPr>
          <w:sz w:val="20"/>
          <w:szCs w:val="20"/>
          <w:color w:val="auto"/>
        </w:rPr>
      </w:pPr>
    </w:p>
    <w:p>
      <w:pPr>
        <w:ind w:left="66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or in street name, you should check with your own institution to find out:</w:t>
      </w:r>
    </w:p>
    <w:p>
      <w:pPr>
        <w:spacing w:after="0" w:line="108"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71" w:lineRule="exact"/>
        <w:rPr>
          <w:sz w:val="20"/>
          <w:szCs w:val="20"/>
          <w:color w:val="auto"/>
        </w:rPr>
      </w:pPr>
    </w:p>
    <w:p>
      <w:pPr>
        <w:ind w:left="66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171" w:lineRule="exact"/>
        <w:rPr>
          <w:sz w:val="20"/>
          <w:szCs w:val="20"/>
          <w:color w:val="auto"/>
        </w:rPr>
      </w:pPr>
    </w:p>
    <w:p>
      <w:pPr>
        <w:ind w:left="66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securityholders are persons or entities that, directly or indirectly, have acquired or will from time to time acquire from us, our securities. The initial purchasers of our securities, as well as their transferees, pledgees, donees or successors, all of whom we refer to as “selling securityholders,” may from time to time offer and sell the securities pursuant to this prospectus and any applicable prospectus supplement.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sell the securities from time to time pursuant to underwritten public offerings, direct sales to the public, “at the market” offerings, negotiated transactions, block trades or a combination of these methods. We or selling securityholders may sell the securities to or through one or more underwriters or dealers, through agents, or directly to one or more purchasers. We or selling securityholders may distribute securities from time to time in one or more transactions:</w:t>
      </w:r>
    </w:p>
    <w:p>
      <w:pPr>
        <w:spacing w:after="0" w:line="126"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08"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dealers, agents or other purchasers,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or selling securityholders,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may purchase additional securities from us or selling securityholders;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or selling securityholders may use underwriters, dealers or agents with whom we have a material relationship. We will describe in the prospectus supplement, naming the underwriter, dealer or agent, the nature of any such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securities directly or through agents we designate from time to time. We will name any agent involved in the offering and sale of securities and we will describe any commissions we or selling securityholders will pay the agent in the prospectus supplement. Unless the prospectus supplement states otherwise, our agent will act on a best-efforts basis for the period of its appointment.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authorize agents, dealers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provide agents, dealers and underwriters with indemnification against civil liabilities, including liabilities under the Securities Act, or contribution with respect to payments that the agents, dealers or underwriters may make with respect to these liabilities. Agents, dealers and underwriters may engage in transactions with, or perform services for, us in the ordinary course of business.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our CDIs that trade on the ASX,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Any underwriter may be granted an option to purchase additional shares, and engage in stabilizing transactions, short-covering transactions and penalty bids in accordance with Regulation M under the Exchange Act and subject to any applicable requirements of the Australian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An underwriter’s option to purchase additional shares involves sales in excess of the offering size, which create a short position. Stabilizing transactions permit bids to purchase the underlying security so long as the stabilizing bids are the lower of the National Best Bid and the lowest price payable by institutions under the offer.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underwriters, dealers or agents that are qualified market makers on the applicable stock exchange may engage in passive market making transactions in the common stock on such stock exchange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compliance with guidelines of the Financial Industry Regulatory Authority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Life360, Inc. as of December 31, 2023, and for the year in the period ended December 31, 2023, incorporated by reference in this Prospectus, and the effectiveness of Life360,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2021 and for the years then ended incorporated by reference in this prospectus have been so incorporated in reliance on the report of BDO USA, LLP (n/k/a BDO USA, P.C.), an independent registered public accounting firm, incorporated herein by reference, given on the authority of said firm as experts in auditing and accounting.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You can read our SEC filings, including the registration statement, over the internet at the SEC’s website at www.sec.gov. The ASX maintains a website that contains documents required under Australian securities laws and other information regarding our filings at www.asx.com.au.</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file reports, proxy statements, and other information with the SEC. These reports, proxy statements, and other information are available for inspection and copying at the website of the SEC referred to above. We also maintain a website at www.life360.com, at which you may access these materials free of charge as soon as reasonably practicable after they are electronically filed with, or furnished to, the SEC. Information contained on, or that can be accessed through, our website is not incorporated by reference into this prospectus, and you should not consider information on our website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000-56424):</w:t>
      </w:r>
    </w:p>
    <w:p>
      <w:pPr>
        <w:spacing w:after="0" w:line="133"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83">
        <w:r>
          <w:rPr>
            <w:rFonts w:ascii="Times New Roman" w:cs="Times New Roman" w:eastAsia="Times New Roman" w:hAnsi="Times New Roman"/>
            <w:sz w:val="18"/>
            <w:szCs w:val="18"/>
            <w:u w:val="single" w:color="auto"/>
            <w:color w:val="0000FF"/>
          </w:rPr>
          <w:t>February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“2023 Form 10-K”);</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2023 Form 10-K from our definitive proxy statement relating to our 2024 annual meeting of stockholders, filed with the SEC on </w:t>
      </w:r>
      <w:hyperlink r:id="rId46">
        <w:r>
          <w:rPr>
            <w:rFonts w:ascii="Times New Roman" w:cs="Times New Roman" w:eastAsia="Times New Roman" w:hAnsi="Times New Roman"/>
            <w:sz w:val="18"/>
            <w:szCs w:val="18"/>
            <w:u w:val="single" w:color="auto"/>
            <w:color w:val="0000FF"/>
          </w:rPr>
          <w:t>April 16, 2024</w:t>
        </w:r>
      </w:hyperlink>
      <w:r>
        <w:rPr>
          <w:rFonts w:ascii="Times New Roman" w:cs="Times New Roman" w:eastAsia="Times New Roman" w:hAnsi="Times New Roman"/>
          <w:sz w:val="18"/>
          <w:szCs w:val="18"/>
          <w:color w:val="auto"/>
        </w:rPr>
        <w:t>;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Item 11 to our Amendment No. 2 to Registration Statement on Form 10, filed with the Commission on </w:t>
      </w:r>
      <w:hyperlink r:id="rId84">
        <w:r>
          <w:rPr>
            <w:rFonts w:ascii="Times New Roman" w:cs="Times New Roman" w:eastAsia="Times New Roman" w:hAnsi="Times New Roman"/>
            <w:sz w:val="18"/>
            <w:szCs w:val="18"/>
            <w:u w:val="single" w:color="auto"/>
            <w:color w:val="0000FF"/>
          </w:rPr>
          <w:t>July 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pursuant to Section 12(g) of the Exchange Act, including any amendment or report filed for the purpose of updating such description, including </w:t>
      </w:r>
      <w:hyperlink r:id="rId85">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2023 Form 10-K.</w:t>
      </w:r>
    </w:p>
    <w:p>
      <w:pPr>
        <w:spacing w:after="0" w:line="122" w:lineRule="exact"/>
        <w:rPr>
          <w:rFonts w:ascii="Times New Roman" w:cs="Times New Roman" w:eastAsia="Times New Roman" w:hAnsi="Times New Roman"/>
          <w:sz w:val="18"/>
          <w:szCs w:val="18"/>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3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1900 South Norfolk Street, Suite 310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484-5244</w:t>
      </w:r>
    </w:p>
    <w:p>
      <w:pPr>
        <w:spacing w:after="0" w:line="9" w:lineRule="exact"/>
        <w:rPr>
          <w:rFonts w:ascii="Times New Roman" w:cs="Times New Roman" w:eastAsia="Times New Roman" w:hAnsi="Times New Roman"/>
          <w:sz w:val="18"/>
          <w:szCs w:val="18"/>
          <w:color w:val="auto"/>
        </w:rPr>
      </w:pPr>
    </w:p>
    <w:p>
      <w:pPr>
        <w:ind w:left="4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Secretary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5,750,000 Shares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Life360, Inc.</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1082040</wp:posOffset>
            </wp:positionV>
            <wp:extent cx="15170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1517015" cy="889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1245235</wp:posOffset>
            </wp:positionV>
            <wp:extent cx="2219960" cy="668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2219960" cy="668655"/>
                    </a:xfrm>
                    <a:prstGeom prst="rect">
                      <a:avLst/>
                    </a:prstGeom>
                    <a:noFill/>
                  </pic:spPr>
                </pic:pic>
              </a:graphicData>
            </a:graphic>
          </wp:anchor>
        </w:drawing>
        <w:drawing>
          <wp:anchor simplePos="0" relativeHeight="251657728" behindDoc="1" locked="0" layoutInCell="0" allowOverlap="1">
            <wp:simplePos x="0" y="0"/>
            <wp:positionH relativeFrom="column">
              <wp:posOffset>2804160</wp:posOffset>
            </wp:positionH>
            <wp:positionV relativeFrom="paragraph">
              <wp:posOffset>2085340</wp:posOffset>
            </wp:positionV>
            <wp:extent cx="1517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8"/>
          <w:szCs w:val="28"/>
          <w:b w:val="1"/>
          <w:bCs w:val="1"/>
          <w:color w:val="auto"/>
        </w:rPr>
        <w:t>Evercore ISI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UBS Investment Bank</w:t>
      </w:r>
    </w:p>
    <w:p>
      <w:pPr>
        <w:spacing w:after="0" w:line="200" w:lineRule="exact"/>
        <w:rPr>
          <w:sz w:val="20"/>
          <w:szCs w:val="20"/>
          <w:color w:val="auto"/>
        </w:rPr>
      </w:pPr>
    </w:p>
    <w:p>
      <w:pPr>
        <w:sectPr>
          <w:pgSz w:w="11900" w:h="16838" w:orient="portrait"/>
          <w:cols w:equalWidth="0" w:num="3">
            <w:col w:w="4520" w:space="720"/>
            <w:col w:w="2500" w:space="720"/>
            <w:col w:w="2740"/>
          </w:cols>
          <w:pgMar w:left="340" w:top="1440" w:right="359" w:bottom="1440" w:gutter="0" w:footer="0" w:header="0"/>
          <w:type w:val="continuous"/>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Stifel</w:t>
      </w:r>
    </w:p>
    <w:p>
      <w:pPr>
        <w:sectPr>
          <w:pgSz w:w="11900" w:h="16838" w:orient="portrait"/>
          <w:cols w:equalWidth="0" w:num="1">
            <w:col w:w="11200"/>
          </w:cols>
          <w:pgMar w:left="340" w:top="1440" w:right="359" w:bottom="1440" w:gutter="0" w:footer="0" w:header="0"/>
          <w:type w:val="continuous"/>
        </w:sect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Canaccord Genuity</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center"/>
        <w:ind w:right="2360"/>
        <w:spacing w:after="0"/>
        <w:rPr>
          <w:sz w:val="20"/>
          <w:szCs w:val="20"/>
          <w:color w:val="auto"/>
        </w:rPr>
      </w:pPr>
      <w:r>
        <w:rPr>
          <w:rFonts w:ascii="Times New Roman" w:cs="Times New Roman" w:eastAsia="Times New Roman" w:hAnsi="Times New Roman"/>
          <w:sz w:val="21"/>
          <w:szCs w:val="21"/>
          <w:b w:val="1"/>
          <w:bCs w:val="1"/>
          <w:color w:val="auto"/>
        </w:rPr>
        <w:t>Citizens JMP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389255</wp:posOffset>
            </wp:positionV>
            <wp:extent cx="1517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Loop Capital Markets</w:t>
      </w:r>
    </w:p>
    <w:p>
      <w:pPr>
        <w:spacing w:after="0" w:line="200" w:lineRule="exact"/>
        <w:rPr>
          <w:sz w:val="20"/>
          <w:szCs w:val="20"/>
          <w:color w:val="auto"/>
        </w:rPr>
      </w:pPr>
    </w:p>
    <w:p>
      <w:pPr>
        <w:sectPr>
          <w:pgSz w:w="11900" w:h="16838" w:orient="portrait"/>
          <w:cols w:equalWidth="0" w:num="3">
            <w:col w:w="4080" w:space="720"/>
            <w:col w:w="3600" w:space="720"/>
            <w:col w:w="208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540385</wp:posOffset>
            </wp:positionV>
            <wp:extent cx="15170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15170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754380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780415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40" w:top="144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1"/>
    </w:lvl>
  </w:abstractNum>
  <w:abstractNum w:abstractNumId="1">
    <w:nsid w:val="3DC240FB"/>
    <w:multiLevelType w:val="hybridMultilevel"/>
    <w:lvl w:ilvl="0">
      <w:lvlJc w:val="left"/>
      <w:lvlText w:val="•"/>
      <w:numFmt w:val="bullet"/>
      <w:start w:val="1"/>
    </w:lvl>
    <w:lvl w:ilvl="1">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lowerRoman"/>
      <w:start w:val="3"/>
    </w:lvl>
  </w:abstractNum>
  <w:abstractNum w:abstractNumId="4">
    <w:nsid w:val="75C6C33A"/>
    <w:multiLevelType w:val="hybridMultilevel"/>
    <w:lvl w:ilvl="0">
      <w:lvlJc w:val="left"/>
      <w:lvlText w:val="•"/>
      <w:numFmt w:val="bullet"/>
      <w:start w:val="1"/>
    </w:lvl>
    <w:lvl w:ilvl="1">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1)"/>
      <w:numFmt w:val="decimal"/>
      <w:start w:val="1"/>
    </w:lvl>
    <w:lvl w:ilvl="1">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1)"/>
      <w:numFmt w:val="decimal"/>
      <w:start w:val="1"/>
    </w:lvl>
    <w:lvl w:ilvl="1">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1)"/>
      <w:numFmt w:val="decimal"/>
      <w:start w:val="415"/>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1)"/>
      <w:numFmt w:val="decimal"/>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1)"/>
      <w:numFmt w:val="decimal"/>
      <w:start w:val="1"/>
    </w:lvl>
  </w:abstractNum>
  <w:abstractNum w:abstractNumId="21">
    <w:nsid w:val="D34B6A8"/>
    <w:multiLevelType w:val="hybridMultilevel"/>
    <w:lvl w:ilvl="0">
      <w:lvlJc w:val="left"/>
      <w:lvlText w:val="(%1)"/>
      <w:numFmt w:val="decimal"/>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1)"/>
      <w:numFmt w:val="decimal"/>
      <w:start w:val="1"/>
    </w:lvl>
  </w:abstractNum>
  <w:abstractNum w:abstractNumId="32">
    <w:nsid w:val="1DBABF00"/>
    <w:multiLevelType w:val="hybridMultilevel"/>
    <w:lvl w:ilvl="0">
      <w:lvlJc w:val="left"/>
      <w:lvlText w:val="(%1)"/>
      <w:numFmt w:val="decimal"/>
      <w:start w:val="9"/>
    </w:lvl>
  </w:abstractNum>
  <w:abstractNum w:abstractNumId="33">
    <w:nsid w:val="4AD084E9"/>
    <w:multiLevelType w:val="hybridMultilevel"/>
    <w:lvl w:ilvl="0">
      <w:lvlJc w:val="left"/>
      <w:lvlText w:val="(%1)"/>
      <w:numFmt w:val="decimal"/>
      <w:start w:val="10"/>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1)"/>
      <w:numFmt w:val="decimal"/>
      <w:start w:val="1"/>
    </w:lvl>
  </w:abstractNum>
  <w:abstractNum w:abstractNumId="40">
    <w:nsid w:val="5F5E7FD0"/>
    <w:multiLevelType w:val="hybridMultilevel"/>
    <w:lvl w:ilvl="0">
      <w:lvlJc w:val="left"/>
      <w:lvlText w:val="%1."/>
      <w:numFmt w:val="lowerRoman"/>
      <w:start w:val="1"/>
    </w:lvl>
  </w:abstractNum>
  <w:abstractNum w:abstractNumId="41">
    <w:nsid w:val="98A3148"/>
    <w:multiLevelType w:val="hybridMultilevel"/>
    <w:lvl w:ilvl="0">
      <w:lvlJc w:val="left"/>
      <w:lvlText w:val="%1."/>
      <w:numFmt w:val="lowerLetter"/>
      <w:start w:val="1"/>
    </w:lvl>
  </w:abstractNum>
  <w:abstractNum w:abstractNumId="42">
    <w:nsid w:val="799D0247"/>
    <w:multiLevelType w:val="hybridMultilevel"/>
    <w:lvl w:ilvl="0">
      <w:lvlJc w:val="left"/>
      <w:lvlText w:val="%1."/>
      <w:numFmt w:val="lowerLetter"/>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1)"/>
      <w:numFmt w:val="decimal"/>
      <w:start w:val="415"/>
    </w:lvl>
  </w:abstractNum>
  <w:abstractNum w:abstractNumId="46">
    <w:nsid w:val="1EBA5D23"/>
    <w:multiLevelType w:val="hybridMultilevel"/>
    <w:lvl w:ilvl="0">
      <w:lvlJc w:val="left"/>
      <w:lvlText w:val="•"/>
      <w:numFmt w:val="bullet"/>
      <w:start w:val="1"/>
    </w:lvl>
    <w:lvl w:ilvl="1">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lvl w:ilvl="1">
      <w:lvlJc w:val="left"/>
      <w:lvlText w:val="◦"/>
      <w:numFmt w:val="bullet"/>
      <w:start w:val="1"/>
    </w:lvl>
  </w:abstractNum>
  <w:abstractNum w:abstractNumId="49">
    <w:nsid w:val="540A471C"/>
    <w:multiLevelType w:val="hybridMultilevel"/>
    <w:lvl w:ilvl="0">
      <w:lvlJc w:val="left"/>
      <w:lvlText w:val="2"/>
      <w:numFmt w:val="bullet"/>
      <w:start w:val="1"/>
    </w:lvl>
  </w:abstractNum>
  <w:abstractNum w:abstractNumId="50">
    <w:nsid w:val="7BD3EE7B"/>
    <w:multiLevelType w:val="hybridMultilevel"/>
    <w:lvl w:ilvl="0">
      <w:lvlJc w:val="left"/>
      <w:lvlText w:val="(%1)"/>
      <w:numFmt w:val="lowerRoman"/>
      <w:start w:val="3"/>
    </w:lvl>
  </w:abstractNum>
  <w:abstractNum w:abstractNumId="51">
    <w:nsid w:val="51D9C564"/>
    <w:multiLevelType w:val="hybridMultilevel"/>
    <w:lvl w:ilvl="0">
      <w:lvlJc w:val="left"/>
      <w:lvlText w:val="•"/>
      <w:numFmt w:val="bullet"/>
      <w:start w:val="1"/>
    </w:lvl>
    <w:lvl w:ilvl="1">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decimal"/>
      <w:start w:val="1"/>
    </w:lvl>
    <w:lvl w:ilvl="1">
      <w:lvlJc w:val="left"/>
      <w:lvlText w:val="•"/>
      <w:numFmt w:val="bullet"/>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1)"/>
      <w:numFmt w:val="decimal"/>
      <w:start w:val="1"/>
    </w:lvl>
    <w:lvl w:ilvl="1">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1)"/>
      <w:numFmt w:val="decimal"/>
      <w:start w:val="415"/>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1)"/>
      <w:numFmt w:val="decimal"/>
      <w:start w:val="1"/>
    </w:lvl>
  </w:abstractNum>
  <w:abstractNum w:abstractNumId="65">
    <w:nsid w:val="7FFFCA11"/>
    <w:multiLevelType w:val="hybridMultilevel"/>
    <w:lvl w:ilvl="0">
      <w:lvlJc w:val="left"/>
      <w:lvlText w:val="(%1)"/>
      <w:numFmt w:val="decimal"/>
      <w:start w:val="1"/>
    </w:lvl>
  </w:abstractNum>
  <w:abstractNum w:abstractNumId="66">
    <w:nsid w:val="1A27709E"/>
    <w:multiLevelType w:val="hybridMultilevel"/>
    <w:lvl w:ilvl="0">
      <w:lvlJc w:val="left"/>
      <w:lvlText w:val="(%1)"/>
      <w:numFmt w:val="decimal"/>
      <w:start w:val="1"/>
    </w:lvl>
  </w:abstractNum>
  <w:abstractNum w:abstractNumId="67">
    <w:nsid w:val="71EA1109"/>
    <w:multiLevelType w:val="hybridMultilevel"/>
    <w:lvl w:ilvl="0">
      <w:lvlJc w:val="left"/>
      <w:lvlText w:val="(%1)"/>
      <w:numFmt w:val="decimal"/>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1)"/>
      <w:numFmt w:val="decimal"/>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
      <w:numFmt w:val="bullet"/>
      <w:start w:val="1"/>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
      <w:numFmt w:val="bullet"/>
      <w:start w:val="1"/>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
      <w:numFmt w:val="bullet"/>
      <w:start w:val="1"/>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1)"/>
      <w:numFmt w:val="decimal"/>
      <w:start w:val="4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7" Type="http://schemas.openxmlformats.org/officeDocument/2006/relationships/image" Target="media/image36.jpe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jpe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43" Type="http://schemas.openxmlformats.org/officeDocument/2006/relationships/hyperlink" Target="https://www.sec.gov/ix?doc=/Archives/edgar/data/0001581760/000158176024000006/lifx-20231231.htm" TargetMode="External"/><Relationship Id="rId44" Type="http://schemas.openxmlformats.org/officeDocument/2006/relationships/hyperlink" Target="https://www.sec.gov/ix?doc=/Archives/edgar/data/0001581760/000158176024000031/lifx-20240331.htm" TargetMode="External"/><Relationship Id="rId45" Type="http://schemas.openxmlformats.org/officeDocument/2006/relationships/hyperlink" Target="https://www.sec.gov/ix?doc=/Archives/edgar/data/0001581760/000119312524152060/d844406d8k.htm" TargetMode="External"/><Relationship Id="rId46" Type="http://schemas.openxmlformats.org/officeDocument/2006/relationships/hyperlink" Target="https://www.sec.gov/ix?doc=/Archives/edgar/data/0001581760/000119312524097815/d587685ddef14a.htm" TargetMode="External"/><Relationship Id="rId83" Type="http://schemas.openxmlformats.org/officeDocument/2006/relationships/hyperlink" Target="https://www.sec.gov/ix?doc=/Archives/edgar/data/1581760/000158176024000006/lifx-20231231.htm" TargetMode="External"/><Relationship Id="rId84" Type="http://schemas.openxmlformats.org/officeDocument/2006/relationships/hyperlink" Target="https://www.sec.gov/Archives/edgar/data/1581760/000119312522187348/d328928d1012ga.htm#rom328928_12" TargetMode="External"/><Relationship Id="rId85" Type="http://schemas.openxmlformats.org/officeDocument/2006/relationships/hyperlink" Target="https://www.sec.gov/Archives/edgar/data/1581760/000158176024000006/exhibit42descriptionofcap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2024-06-03T05:35:42Z</dcterms:created>
  <dcterms:modified xsi:type="dcterms:W3CDTF">2024-06-03T05:35:42Z</dcterms:modified>
</cp:coreProperties>
</file>