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5</w:t>
      </w:r>
    </w:p>
    <w:p>
      <w:pPr>
        <w:spacing w:after="0" w:line="52"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5</w:t>
      </w:r>
    </w:p>
    <w:p>
      <w:pPr>
        <w:spacing w:after="0" w:line="125"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67945</wp:posOffset>
            </wp:positionV>
            <wp:extent cx="135890" cy="135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113"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3 Holdings Reported.</w:t>
      </w:r>
    </w:p>
    <w:p>
      <w:pPr>
        <w:spacing w:after="0" w:line="100" w:lineRule="exact"/>
        <w:rPr>
          <w:sz w:val="24"/>
          <w:szCs w:val="24"/>
          <w:color w:val="auto"/>
        </w:rPr>
      </w:pPr>
    </w:p>
    <w:p>
      <w:pPr>
        <w:ind w:left="40"/>
        <w:spacing w:after="0"/>
        <w:rPr>
          <w:sz w:val="20"/>
          <w:szCs w:val="20"/>
          <w:color w:val="auto"/>
        </w:rPr>
      </w:pPr>
      <w:r>
        <w:rPr>
          <w:sz w:val="1"/>
          <w:szCs w:val="1"/>
          <w:color w:val="auto"/>
        </w:rPr>
        <w:drawing>
          <wp:inline distT="0" distB="0" distL="0" distR="0">
            <wp:extent cx="42545" cy="1949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194945"/>
                    </a:xfrm>
                    <a:prstGeom prst="rect">
                      <a:avLst/>
                    </a:prstGeom>
                    <a:noFill/>
                    <a:ln>
                      <a:noFill/>
                    </a:ln>
                  </pic:spPr>
                </pic:pic>
              </a:graphicData>
            </a:graphic>
          </wp:inline>
        </w:drawing>
      </w:r>
      <w:r>
        <w:rPr>
          <w:rFonts w:ascii="Times New Roman" w:cs="Times New Roman" w:eastAsia="Times New Roman" w:hAnsi="Times New Roman"/>
          <w:sz w:val="17"/>
          <w:szCs w:val="17"/>
          <w:color w:val="0000FF"/>
          <w:highlight w:val="white"/>
        </w:rPr>
        <w:t>X</w:t>
      </w:r>
      <w:r>
        <w:rPr>
          <w:sz w:val="1"/>
          <w:szCs w:val="1"/>
          <w:color w:val="auto"/>
        </w:rPr>
        <w:drawing>
          <wp:inline distT="0" distB="0" distL="0" distR="0">
            <wp:extent cx="42545" cy="1949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194945"/>
                    </a:xfrm>
                    <a:prstGeom prst="rect">
                      <a:avLst/>
                    </a:prstGeom>
                    <a:noFill/>
                    <a:ln>
                      <a:noFill/>
                    </a:ln>
                  </pic:spPr>
                </pic:pic>
              </a:graphicData>
            </a:graphic>
          </wp:inline>
        </w:drawing>
      </w:r>
      <w:r>
        <w:rPr>
          <w:rFonts w:ascii="Arial" w:cs="Arial" w:eastAsia="Arial" w:hAnsi="Arial"/>
          <w:sz w:val="12"/>
          <w:szCs w:val="12"/>
          <w:color w:val="auto"/>
        </w:rPr>
        <w:t xml:space="preserve">  Form 4 Transactions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-181610</wp:posOffset>
            </wp:positionV>
            <wp:extent cx="135890" cy="169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890" cy="169545"/>
                    </a:xfrm>
                    <a:prstGeom prst="rect">
                      <a:avLst/>
                    </a:prstGeom>
                    <a:noFill/>
                  </pic:spPr>
                </pic:pic>
              </a:graphicData>
            </a:graphic>
          </wp:anchor>
        </w:drawing>
      </w:r>
    </w:p>
    <w:p>
      <w:pPr>
        <w:spacing w:after="0" w:line="66" w:lineRule="exact"/>
        <w:rPr>
          <w:sz w:val="24"/>
          <w:szCs w:val="24"/>
          <w:color w:val="auto"/>
        </w:rPr>
      </w:pPr>
    </w:p>
    <w:p>
      <w:pPr>
        <w:ind w:left="38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-440690</wp:posOffset>
            </wp:positionV>
            <wp:extent cx="161290" cy="194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90" cy="1949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2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2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23"/>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63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6380" w:type="dxa"/>
            <w:vAlign w:val="bottom"/>
            <w:vMerge w:val="restart"/>
          </w:tcPr>
          <w:p>
            <w:pPr>
              <w:jc w:val="center"/>
              <w:ind w:right="23"/>
              <w:spacing w:after="0"/>
              <w:rPr>
                <w:sz w:val="20"/>
                <w:szCs w:val="20"/>
                <w:color w:val="auto"/>
              </w:rPr>
            </w:pPr>
            <w:r>
              <w:rPr>
                <w:rFonts w:ascii="Arial" w:cs="Arial" w:eastAsia="Arial" w:hAnsi="Arial"/>
                <w:sz w:val="21"/>
                <w:szCs w:val="21"/>
                <w:b w:val="1"/>
                <w:bCs w:val="1"/>
                <w:color w:val="auto"/>
              </w:rPr>
              <w:t>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7"/>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5312410</wp:posOffset>
            </wp:positionH>
            <wp:positionV relativeFrom="paragraph">
              <wp:posOffset>-648335</wp:posOffset>
            </wp:positionV>
            <wp:extent cx="59055" cy="661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-648335</wp:posOffset>
            </wp:positionV>
            <wp:extent cx="59055" cy="661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spacing w:after="0" w:line="74" w:lineRule="exact"/>
        <w:rPr>
          <w:sz w:val="24"/>
          <w:szCs w:val="24"/>
          <w:color w:val="auto"/>
        </w:rPr>
      </w:pPr>
    </w:p>
    <w:p>
      <w:pPr>
        <w:jc w:val="center"/>
        <w:ind w:right="2340"/>
        <w:spacing w:after="0"/>
        <w:rPr>
          <w:sz w:val="20"/>
          <w:szCs w:val="20"/>
          <w:color w:val="auto"/>
        </w:rPr>
      </w:pPr>
      <w:r>
        <w:rPr>
          <w:rFonts w:ascii="Arial" w:cs="Arial" w:eastAsia="Arial" w:hAnsi="Arial"/>
          <w:sz w:val="13"/>
          <w:szCs w:val="13"/>
          <w:color w:val="auto"/>
        </w:rPr>
        <w:t>Filed pursuant to Section 16(a) of the Securities Exchange Act of 1934</w:t>
      </w:r>
    </w:p>
    <w:p>
      <w:pPr>
        <w:spacing w:after="0" w:line="9" w:lineRule="exact"/>
        <w:rPr>
          <w:sz w:val="24"/>
          <w:szCs w:val="24"/>
          <w:color w:val="auto"/>
        </w:rPr>
      </w:pPr>
    </w:p>
    <w:p>
      <w:pPr>
        <w:jc w:val="center"/>
        <w:ind w:right="23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766445</wp:posOffset>
            </wp:positionV>
            <wp:extent cx="6988810" cy="4758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8810" cy="4758055"/>
                    </a:xfrm>
                    <a:prstGeom prst="rect">
                      <a:avLst/>
                    </a:prstGeom>
                    <a:noFill/>
                  </pic:spPr>
                </pic:pic>
              </a:graphicData>
            </a:graphic>
          </wp:anchor>
        </w:drawing>
      </w:r>
    </w:p>
    <w:p>
      <w:pPr>
        <w:spacing w:after="0" w:line="1278" w:lineRule="exact"/>
        <w:rPr>
          <w:sz w:val="24"/>
          <w:szCs w:val="24"/>
          <w:color w:val="auto"/>
        </w:rPr>
      </w:pPr>
    </w:p>
    <w:p>
      <w:pPr>
        <w:sectPr>
          <w:pgSz w:w="11900" w:h="16838" w:orient="portrait"/>
          <w:cols w:equalWidth="0" w:num="2">
            <w:col w:w="2340" w:space="14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Prober Charles J.</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3760" w:type="dxa"/>
            <w:vAlign w:val="bottom"/>
            <w:gridSpan w:val="3"/>
          </w:tcPr>
          <w:p>
            <w:pPr>
              <w:spacing w:after="0" w:line="147" w:lineRule="exact"/>
              <w:rPr>
                <w:rFonts w:ascii="Times New Roman" w:cs="Times New Roman" w:eastAsia="Times New Roman" w:hAnsi="Times New Roman"/>
                <w:sz w:val="17"/>
                <w:szCs w:val="17"/>
                <w:color w:val="0000EE"/>
              </w:rPr>
            </w:pPr>
            <w:hyperlink r:id="rId18">
              <w:r>
                <w:rPr>
                  <w:rFonts w:ascii="Times New Roman" w:cs="Times New Roman" w:eastAsia="Times New Roman" w:hAnsi="Times New Roman"/>
                  <w:sz w:val="17"/>
                  <w:szCs w:val="17"/>
                  <w:color w:val="0000EE"/>
                </w:rPr>
                <w:t xml:space="preserve">Life360,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NONE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Statement for Issuer's Fiscal Year Ended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7"/>
        </w:trPr>
        <w:tc>
          <w:tcPr>
            <w:tcW w:w="1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12/31/2023</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2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3" w:lineRule="exact"/>
        <w:rPr>
          <w:sz w:val="24"/>
          <w:szCs w:val="24"/>
          <w:color w:val="auto"/>
        </w:rPr>
      </w:pPr>
    </w:p>
    <w:p>
      <w:pPr>
        <w:ind w:left="408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2"/>
                <w:szCs w:val="12"/>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2"/>
                <w:szCs w:val="12"/>
                <w:color w:val="auto"/>
              </w:rPr>
            </w:pPr>
          </w:p>
        </w:tc>
        <w:tc>
          <w:tcPr>
            <w:tcW w:w="2240" w:type="dxa"/>
            <w:vAlign w:val="bottom"/>
            <w:gridSpan w:val="5"/>
          </w:tcPr>
          <w:p>
            <w:pPr>
              <w:ind w:left="60"/>
              <w:spacing w:after="0"/>
              <w:rPr>
                <w:sz w:val="20"/>
                <w:szCs w:val="20"/>
                <w:color w:val="auto"/>
              </w:rPr>
            </w:pPr>
            <w:r>
              <w:rPr>
                <w:rFonts w:ascii="Arial" w:cs="Arial" w:eastAsia="Arial" w:hAnsi="Arial"/>
                <w:sz w:val="12"/>
                <w:szCs w:val="12"/>
                <w:b w:val="1"/>
                <w:bCs w:val="1"/>
                <w:color w:val="auto"/>
                <w:w w:val="98"/>
              </w:rPr>
              <w:t>4. Securities Acquired (A) or Disposed</w:t>
            </w:r>
          </w:p>
        </w:tc>
        <w:tc>
          <w:tcPr>
            <w:tcW w:w="12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5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600" w:type="dxa"/>
            <w:vAlign w:val="bottom"/>
            <w:gridSpan w:val="2"/>
            <w:vMerge w:val="continue"/>
          </w:tcPr>
          <w:p>
            <w:pPr>
              <w:spacing w:after="0"/>
              <w:rPr>
                <w:sz w:val="5"/>
                <w:szCs w:val="5"/>
                <w:color w:val="auto"/>
              </w:rPr>
            </w:pPr>
          </w:p>
        </w:tc>
        <w:tc>
          <w:tcPr>
            <w:tcW w:w="72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06/27/2022</w:t>
            </w:r>
          </w:p>
        </w:tc>
        <w:tc>
          <w:tcPr>
            <w:tcW w:w="8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J4</w:t>
            </w:r>
            <w:r>
              <w:rPr>
                <w:rFonts w:ascii="Times New Roman" w:cs="Times New Roman" w:eastAsia="Times New Roman" w:hAnsi="Times New Roman"/>
                <w:sz w:val="11"/>
                <w:szCs w:val="11"/>
                <w:color w:val="008000"/>
              </w:rPr>
              <w:t>(1)</w:t>
            </w:r>
          </w:p>
        </w:tc>
        <w:tc>
          <w:tcPr>
            <w:tcW w:w="9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3,980</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482,303</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940" w:type="dxa"/>
            <w:vAlign w:val="bottom"/>
            <w:gridSpan w:val="12"/>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9845" cy="18065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24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issuance of shares for the benefit of the Reporting Person on January 6, 2022 in connection with the closing of the merger of Tile, Inc. into the Issuer ("Merger"). Pursuant to the Merger, the issued shares were subject to voluntary escrow and forfeiture terms until April 5, 2023, whereupon such shares were released to the Reporting Person free of such restrictions.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the Issuer's common stock underlying Chess Depositary Interests and restricted stock units, each of which represents a contingent right to receive one share of the Issuer's common stock upon vesting.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7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Jay Sood, Attorney-in-Fact  02/14/2024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-3810</wp:posOffset>
            </wp:positionV>
            <wp:extent cx="19018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spacing w:after="0" w:line="5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11" w:lineRule="exact"/>
        <w:rPr>
          <w:sz w:val="20"/>
          <w:szCs w:val="20"/>
          <w:color w:val="auto"/>
        </w:rPr>
      </w:pPr>
    </w:p>
    <w:p>
      <w:pPr>
        <w:jc w:val="both"/>
        <w:ind w:firstLine="641"/>
        <w:spacing w:after="0" w:line="249"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Russell J. Burke, Jay Sood, Alexander Gefter, Natalie Karam, Siana Lowrey, and Brian Youn, signing individually, the undersigned's true and lawful attorneys-in fact and agents to:</w:t>
      </w:r>
    </w:p>
    <w:p>
      <w:pPr>
        <w:spacing w:after="0" w:line="179" w:lineRule="exact"/>
        <w:rPr>
          <w:sz w:val="20"/>
          <w:szCs w:val="20"/>
          <w:color w:val="auto"/>
        </w:rPr>
      </w:pPr>
    </w:p>
    <w:p>
      <w:pPr>
        <w:jc w:val="both"/>
        <w:ind w:firstLine="648"/>
        <w:spacing w:after="0" w:line="249" w:lineRule="auto"/>
        <w:tabs>
          <w:tab w:leader="none" w:pos="94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greater than 10% stockholder of Life360, Inc. (the "Company"), Forms 3, 4 and 5 (including any amendments thereto) in accordance with Section 16(a) of the Securities Exchange Act of 1934, as amended (the "Exchange Act"), and the rules thereunder;</w:t>
      </w:r>
    </w:p>
    <w:p>
      <w:pPr>
        <w:sectPr>
          <w:pgSz w:w="11900" w:h="16838" w:orient="portrait"/>
          <w:cols w:equalWidth="0" w:num="1">
            <w:col w:w="10980"/>
          </w:cols>
          <w:pgMar w:left="460" w:top="945" w:right="459" w:bottom="1440" w:gutter="0" w:footer="0" w:header="0"/>
        </w:sectPr>
      </w:pPr>
    </w:p>
    <w:p>
      <w:pPr>
        <w:spacing w:after="0" w:line="179" w:lineRule="exact"/>
        <w:rPr>
          <w:sz w:val="20"/>
          <w:szCs w:val="20"/>
          <w:color w:val="auto"/>
        </w:rPr>
      </w:pPr>
    </w:p>
    <w:p>
      <w:pPr>
        <w:ind w:firstLine="648"/>
        <w:spacing w:after="0" w:line="249" w:lineRule="auto"/>
        <w:tabs>
          <w:tab w:leader="none" w:pos="93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execute any such Forms 3, 4 or 5 (including any amendments thereto) and timely file Commission and any stock exchange or similar authority; and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hanging="39"/>
        <w:spacing w:after="0" w:line="262" w:lineRule="auto"/>
        <w:rPr>
          <w:sz w:val="20"/>
          <w:szCs w:val="20"/>
          <w:color w:val="auto"/>
        </w:rPr>
      </w:pPr>
      <w:r>
        <w:rPr>
          <w:rFonts w:ascii="Times New Roman" w:cs="Times New Roman" w:eastAsia="Times New Roman" w:hAnsi="Times New Roman"/>
          <w:sz w:val="20"/>
          <w:szCs w:val="20"/>
          <w:color w:val="auto"/>
        </w:rPr>
        <w:t>may be necessary or desirable to complete and such forms with the Securities and Exchange</w:t>
      </w:r>
    </w:p>
    <w:p>
      <w:pPr>
        <w:spacing w:after="0" w:line="392" w:lineRule="exact"/>
        <w:rPr>
          <w:sz w:val="20"/>
          <w:szCs w:val="20"/>
          <w:color w:val="auto"/>
        </w:rPr>
      </w:pPr>
    </w:p>
    <w:p>
      <w:pPr>
        <w:sectPr>
          <w:pgSz w:w="11900" w:h="16838" w:orient="portrait"/>
          <w:cols w:equalWidth="0" w:num="2">
            <w:col w:w="7160" w:space="80"/>
            <w:col w:w="3740"/>
          </w:cols>
          <w:pgMar w:left="460" w:top="945" w:right="459" w:bottom="1440" w:gutter="0" w:footer="0" w:header="0"/>
          <w:type w:val="continuous"/>
        </w:sectPr>
      </w:pPr>
    </w:p>
    <w:p>
      <w:pPr>
        <w:jc w:val="both"/>
        <w:ind w:firstLine="648"/>
        <w:spacing w:after="0" w:line="245" w:lineRule="auto"/>
        <w:tabs>
          <w:tab w:leader="none" w:pos="92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firstLine="641"/>
        <w:spacing w:after="0" w:line="241"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7" w:lineRule="exact"/>
        <w:rPr>
          <w:sz w:val="20"/>
          <w:szCs w:val="20"/>
          <w:color w:val="auto"/>
        </w:rPr>
      </w:pPr>
    </w:p>
    <w:p>
      <w:pPr>
        <w:jc w:val="both"/>
        <w:ind w:firstLine="641"/>
        <w:spacing w:after="0" w:line="28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undersigned has caused this Power of Attorney to be executed as of September 9, 2023.</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 Charles Prober</w:t>
      </w:r>
    </w:p>
    <w:sectPr>
      <w:pgSz w:w="11900" w:h="16838" w:orient="portrait"/>
      <w:cols w:equalWidth="0" w:num="1">
        <w:col w:w="10980"/>
      </w:cols>
      <w:pgMar w:left="460" w:top="945"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7" Type="http://schemas.openxmlformats.org/officeDocument/2006/relationships/hyperlink" Target="http://www.sec.gov/cgi-bin/browse-edgar?action=getcompany&amp;CIK=0001696247" TargetMode="External"/><Relationship Id="rId18"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2024-02-14T15:21:43Z</dcterms:created>
  <dcterms:modified xsi:type="dcterms:W3CDTF">2024-02-14T15:21:43Z</dcterms:modified>
</cp:coreProperties>
</file>