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2" w:lineRule="exact"/>
        <w:rPr>
          <w:sz w:val="24"/>
          <w:szCs w:val="24"/>
          <w:color w:val="auto"/>
        </w:rPr>
      </w:pPr>
    </w:p>
    <w:p>
      <w:pPr>
        <w:ind w:left="3880" w:right="1600" w:hanging="3854"/>
        <w:spacing w:after="0" w:line="349" w:lineRule="auto"/>
        <w:tabs>
          <w:tab w:leader="none" w:pos="47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6" w:lineRule="exact"/>
        <w:rPr>
          <w:sz w:val="24"/>
          <w:szCs w:val="24"/>
          <w:color w:val="auto"/>
        </w:rPr>
      </w:pPr>
    </w:p>
    <w:p>
      <w:pPr>
        <w:ind w:left="3640" w:right="1600" w:hanging="3614"/>
        <w:spacing w:after="0" w:line="552" w:lineRule="auto"/>
        <w:tabs>
          <w:tab w:leader="none" w:pos="47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000-56424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Life360, Inc.</w:t>
      </w:r>
    </w:p>
    <w:p>
      <w:pPr>
        <w:sectPr>
          <w:pgSz w:w="11900" w:h="16838" w:orient="portrait"/>
          <w:cols w:equalWidth="0" w:num="1">
            <w:col w:w="11240"/>
          </w:cols>
          <w:pgMar w:left="320" w:top="225" w:right="339" w:bottom="0" w:gutter="0" w:footer="0" w:header="0"/>
        </w:sectPr>
      </w:pPr>
    </w:p>
    <w:p>
      <w:pPr>
        <w:spacing w:after="0" w:line="5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31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539 Bryant Street, Suite 402</w:t>
      </w:r>
    </w:p>
    <w:p>
      <w:pPr>
        <w:spacing w:after="0" w:line="31"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San Francisco, CA</w:t>
      </w:r>
    </w:p>
    <w:p>
      <w:pPr>
        <w:spacing w:after="0" w:line="45"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02"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Tel: (415) 484-5244</w:t>
      </w:r>
    </w:p>
    <w:p>
      <w:pPr>
        <w:spacing w:after="0" w:line="31"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26-0197666</w:t>
      </w:r>
    </w:p>
    <w:p>
      <w:pPr>
        <w:spacing w:after="0" w:line="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pacing w:after="0" w:line="365"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94107</w:t>
      </w:r>
    </w:p>
    <w:p>
      <w:pPr>
        <w:spacing w:after="0" w:line="3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(Zip Code)</w:t>
      </w:r>
    </w:p>
    <w:p>
      <w:pPr>
        <w:spacing w:after="0" w:line="944" w:lineRule="exact"/>
        <w:rPr>
          <w:sz w:val="24"/>
          <w:szCs w:val="24"/>
          <w:color w:val="auto"/>
        </w:rPr>
      </w:pPr>
    </w:p>
    <w:p>
      <w:pPr>
        <w:sectPr>
          <w:pgSz w:w="11900" w:h="16838" w:orient="portrait"/>
          <w:cols w:equalWidth="0" w:num="2">
            <w:col w:w="7520" w:space="240"/>
            <w:col w:w="3480"/>
          </w:cols>
          <w:pgMar w:left="320" w:top="225" w:right="339" w:bottom="0" w:gutter="0" w:footer="0" w:header="0"/>
          <w:type w:val="continuous"/>
        </w:sectPr>
      </w:pP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 as amended (the “Exchange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52" w:lineRule="exact"/>
        <w:rPr>
          <w:sz w:val="24"/>
          <w:szCs w:val="24"/>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4" w:lineRule="exact"/>
        <w:rPr>
          <w:sz w:val="24"/>
          <w:szCs w:val="24"/>
          <w:color w:val="auto"/>
        </w:rPr>
      </w:pPr>
    </w:p>
    <w:p>
      <w:pPr>
        <w:ind w:left="1860"/>
        <w:spacing w:after="0"/>
        <w:tabs>
          <w:tab w:leader="none" w:pos="4200" w:val="left"/>
          <w:tab w:leader="none" w:pos="6380" w:val="left"/>
          <w:tab w:leader="none" w:pos="92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Wingdings" w:cs="Wingdings" w:eastAsia="Wingdings" w:hAnsi="Wingdings"/>
          <w:sz w:val="17"/>
          <w:szCs w:val="17"/>
          <w:b w:val="1"/>
          <w:bCs w:val="1"/>
          <w:color w:val="auto"/>
        </w:rPr>
        <w:t>o</w:t>
      </w:r>
    </w:p>
    <w:p>
      <w:pPr>
        <w:spacing w:after="0" w:line="25" w:lineRule="exact"/>
        <w:rPr>
          <w:sz w:val="24"/>
          <w:szCs w:val="24"/>
          <w:color w:val="auto"/>
        </w:rPr>
      </w:pPr>
    </w:p>
    <w:p>
      <w:pPr>
        <w:ind w:left="1860"/>
        <w:spacing w:after="0"/>
        <w:tabs>
          <w:tab w:leader="none" w:pos="3980" w:val="left"/>
          <w:tab w:leader="none" w:pos="6380" w:val="left"/>
          <w:tab w:leader="none" w:pos="92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Wingdings" w:cs="Wingdings" w:eastAsia="Wingdings" w:hAnsi="Wingdings"/>
          <w:sz w:val="17"/>
          <w:szCs w:val="17"/>
          <w:b w:val="1"/>
          <w:bCs w:val="1"/>
          <w:color w:val="auto"/>
        </w:rPr>
        <w:t>o</w:t>
      </w:r>
    </w:p>
    <w:p>
      <w:pPr>
        <w:spacing w:after="0" w:line="23" w:lineRule="exact"/>
        <w:rPr>
          <w:sz w:val="24"/>
          <w:szCs w:val="24"/>
          <w:color w:val="auto"/>
        </w:rPr>
      </w:pPr>
    </w:p>
    <w:p>
      <w:pPr>
        <w:ind w:left="1860"/>
        <w:spacing w:after="0"/>
        <w:tabs>
          <w:tab w:leader="none" w:pos="3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6"/>
          <w:szCs w:val="16"/>
          <w:b w:val="1"/>
          <w:bCs w:val="1"/>
          <w:color w:val="auto"/>
        </w:rPr>
        <w:t>x</w:t>
      </w:r>
    </w:p>
    <w:p>
      <w:pPr>
        <w:spacing w:after="0" w:line="27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spacing w:after="0"/>
        <w:tabs>
          <w:tab w:leader="none" w:pos="8380" w:val="left"/>
          <w:tab w:leader="none" w:pos="91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November 14, 2022, the registrant had 62,325,855 shares of common stock, par value $0.001 per share, including shares underlying all issued and outstanding Chess Depository Interests (“CDIs”), outstanding.</w:t>
      </w:r>
    </w:p>
    <w:p>
      <w:pPr>
        <w:sectPr>
          <w:pgSz w:w="11900" w:h="16838" w:orient="portrait"/>
          <w:cols w:equalWidth="0" w:num="1">
            <w:col w:w="11240"/>
          </w:cols>
          <w:pgMar w:left="320" w:top="225" w:right="339" w:bottom="0" w:gutter="0" w:footer="0" w:header="0"/>
          <w:type w:val="continuous"/>
        </w:sectPr>
      </w:pPr>
    </w:p>
    <w:bookmarkStart w:id="1" w:name="page2"/>
    <w:bookmarkEnd w:id="1"/>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 for the Quarter Ended September 30, 2022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4"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33655</wp:posOffset>
            </wp:positionV>
            <wp:extent cx="471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720" w:type="dxa"/>
            <w:vAlign w:val="bottom"/>
          </w:tcPr>
          <w:p>
            <w:pPr>
              <w:spacing w:after="0"/>
              <w:rPr>
                <w:sz w:val="18"/>
                <w:szCs w:val="18"/>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860" w:type="dxa"/>
            <w:vAlign w:val="bottom"/>
            <w:gridSpan w:val="2"/>
          </w:tcPr>
          <w:p>
            <w:pPr>
              <w:spacing w:after="0"/>
              <w:rPr>
                <w:sz w:val="18"/>
                <w:szCs w:val="18"/>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2"/>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00" w:type="dxa"/>
            <w:vAlign w:val="bottom"/>
            <w:gridSpan w:val="2"/>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35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00" w:type="dxa"/>
            <w:vAlign w:val="bottom"/>
            <w:gridSpan w:val="2"/>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2"/>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80" w:type="dxa"/>
            <w:vAlign w:val="bottom"/>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180" w:type="dxa"/>
            <w:vAlign w:val="bottom"/>
          </w:tcPr>
          <w:p>
            <w:pPr>
              <w:spacing w:after="0"/>
              <w:rPr>
                <w:sz w:val="24"/>
                <w:szCs w:val="24"/>
                <w:color w:val="auto"/>
              </w:rPr>
            </w:pP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6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783"/>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21E of the Exchange Act. These forward-looking statements involve risks and uncertainties regarding, among other things, (a) our projected sales, profitability, and cash flows, (b) our growth strategy, (c) anticipated trends in our industry, (d) our future financing plans, and (e) our anticipated needs for, and use of, working capital. They are generally identifiable by use of the words “may,” “will,” “should,” “anticipate,” “estimate,” “plan,” “potential,” “project,” “continuing,” “ongoing,” “expects,” “management believes,” “we believe,” “we intend,” or the negative of these words or other variations on these words or comparable terminology. We caution you the foregoing list may not contain all of the forward-looking statements made in this Quarterly Report on Form 10-Q. In light of these risks and uncertainties, there can be no assurance that the forward-looking statements contained in this filing will in fact occur. You should not place undue reliance on these forward-looking statements.</w:t>
      </w:r>
    </w:p>
    <w:p>
      <w:pPr>
        <w:spacing w:after="0" w:line="21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230,990</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256,680</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 of current portion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Right-of-use-asset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302,376</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Escrow liability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current ($3,454 and $4,222 measured at fair value, respectively)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r>
      <w:tr>
        <w:trPr>
          <w:trHeight w:val="229"/>
        </w:trPr>
        <w:tc>
          <w:tcPr>
            <w:tcW w:w="8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13,929</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41,446</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noncurrent ($3,380 and $8,071 measured at fair value, respectively)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noncurrent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84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100,000,000 shares authorized as of September 30, 2022 (unaudited) and</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4"/>
        </w:trPr>
        <w:tc>
          <w:tcPr>
            <w:tcW w:w="846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December 31, 2021; 62,284,507 and 60,221,799 issued and outstanding as of September 30, 2022</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(unaudited) and December 31, 2021, respectively</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416,278</w:t>
            </w: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due from affiliates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(165,343)</w:t>
            </w: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250,045</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ectPr>
          <w:pgSz w:w="11900" w:h="16838" w:orient="portrait"/>
          <w:cols w:equalWidth="0" w:num="1">
            <w:col w:w="11120"/>
          </w:cols>
          <w:pgMar w:left="320" w:top="11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63,061</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35,821</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62,173,588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51,217,286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61,753,532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50,608,146</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6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21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44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12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160" w:type="dxa"/>
            <w:vAlign w:val="bottom"/>
          </w:tcPr>
          <w:p>
            <w:pPr>
              <w:spacing w:after="0"/>
              <w:rPr>
                <w:sz w:val="9"/>
                <w:szCs w:val="9"/>
                <w:color w:val="auto"/>
              </w:rPr>
            </w:pPr>
          </w:p>
        </w:tc>
        <w:tc>
          <w:tcPr>
            <w:tcW w:w="114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2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060" w:type="dxa"/>
            <w:vAlign w:val="bottom"/>
            <w:vMerge w:val="restart"/>
          </w:tcPr>
          <w:p>
            <w:pPr>
              <w:jc w:val="center"/>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4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 Affiliates</w:t>
            </w:r>
          </w:p>
        </w:tc>
        <w:tc>
          <w:tcPr>
            <w:tcW w:w="16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6"/>
                <w:szCs w:val="16"/>
                <w:color w:val="auto"/>
              </w:rPr>
            </w:pP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60,221,799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250,045</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779,032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0" w:type="dxa"/>
            <w:vAlign w:val="bottom"/>
          </w:tcPr>
          <w:p>
            <w:pPr>
              <w:spacing w:after="0"/>
              <w:rPr>
                <w:sz w:val="1"/>
                <w:szCs w:val="1"/>
                <w:color w:val="auto"/>
              </w:rPr>
            </w:pPr>
          </w:p>
        </w:tc>
      </w:tr>
      <w:tr>
        <w:trPr>
          <w:trHeight w:val="198"/>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 an acquisition</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from affiliates</w:t>
            </w: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(25,222)</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foreign currency translation</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61,469,777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438,658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(190,565)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center"/>
              <w:ind w:left="772"/>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247,228</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198"/>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affiliates</w:t>
            </w: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notes due from affiliates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settlement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360,724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19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contingent consideration</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foreign currency translation</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00" w:type="dxa"/>
            <w:vAlign w:val="bottom"/>
            <w:vMerge w:val="restart"/>
          </w:tcPr>
          <w:p>
            <w:pPr>
              <w:jc w:val="center"/>
              <w:ind w:left="732"/>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62,087,105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229,653</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58,800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left="772"/>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198"/>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affiliates</w:t>
            </w: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revesting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left="6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foreign currency translation</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62,284,507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460,395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215,462</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40" w:type="dxa"/>
            <w:vAlign w:val="bottom"/>
          </w:tcPr>
          <w:p>
            <w:pPr>
              <w:spacing w:after="0"/>
              <w:rPr>
                <w:sz w:val="16"/>
                <w:szCs w:val="16"/>
                <w:color w:val="auto"/>
              </w:rPr>
            </w:pPr>
          </w:p>
        </w:tc>
        <w:tc>
          <w:tcPr>
            <w:tcW w:w="22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gridSpan w:val="2"/>
            <w:vMerge w:val="restart"/>
          </w:tcPr>
          <w:p>
            <w:pPr>
              <w:jc w:val="center"/>
              <w:ind w:right="32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20" w:type="dxa"/>
            <w:vAlign w:val="bottom"/>
          </w:tcPr>
          <w:p>
            <w:pPr>
              <w:spacing w:after="0"/>
              <w:rPr>
                <w:sz w:val="5"/>
                <w:szCs w:val="5"/>
                <w:color w:val="auto"/>
              </w:rPr>
            </w:pPr>
          </w:p>
        </w:tc>
        <w:tc>
          <w:tcPr>
            <w:tcW w:w="1400" w:type="dxa"/>
            <w:vAlign w:val="bottom"/>
            <w:gridSpan w:val="2"/>
            <w:vMerge w:val="restart"/>
          </w:tcPr>
          <w:p>
            <w:pPr>
              <w:ind w:left="220"/>
              <w:spacing w:after="0" w:line="108" w:lineRule="exact"/>
              <w:rPr>
                <w:sz w:val="20"/>
                <w:szCs w:val="20"/>
                <w:color w:val="auto"/>
              </w:rPr>
            </w:pPr>
            <w:r>
              <w:rPr>
                <w:rFonts w:ascii="Times New Roman" w:cs="Times New Roman" w:eastAsia="Times New Roman" w:hAnsi="Times New Roman"/>
                <w:sz w:val="12"/>
                <w:szCs w:val="12"/>
                <w:b w:val="1"/>
                <w:bCs w:val="1"/>
                <w:color w:val="auto"/>
              </w:rPr>
              <w:t>Notes Due</w:t>
            </w:r>
          </w:p>
        </w:tc>
        <w:tc>
          <w:tcPr>
            <w:tcW w:w="240" w:type="dxa"/>
            <w:vAlign w:val="bottom"/>
          </w:tcPr>
          <w:p>
            <w:pPr>
              <w:spacing w:after="0"/>
              <w:rPr>
                <w:sz w:val="5"/>
                <w:szCs w:val="5"/>
                <w:color w:val="auto"/>
              </w:rPr>
            </w:pPr>
          </w:p>
        </w:tc>
        <w:tc>
          <w:tcPr>
            <w:tcW w:w="1400" w:type="dxa"/>
            <w:vAlign w:val="bottom"/>
            <w:gridSpan w:val="2"/>
            <w:vMerge w:val="restart"/>
          </w:tcPr>
          <w:p>
            <w:pPr>
              <w:ind w:left="1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20" w:type="dxa"/>
            <w:vAlign w:val="bottom"/>
          </w:tcPr>
          <w:p>
            <w:pPr>
              <w:spacing w:after="0"/>
              <w:rPr>
                <w:sz w:val="5"/>
                <w:szCs w:val="5"/>
                <w:color w:val="auto"/>
              </w:rPr>
            </w:pPr>
          </w:p>
        </w:tc>
        <w:tc>
          <w:tcPr>
            <w:tcW w:w="1320" w:type="dxa"/>
            <w:vAlign w:val="bottom"/>
            <w:vMerge w:val="restart"/>
          </w:tcPr>
          <w:p>
            <w:pPr>
              <w:jc w:val="center"/>
              <w:ind w:right="132"/>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line="20" w:lineRule="exact"/>
              <w:rPr>
                <w:sz w:val="1"/>
                <w:szCs w:val="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from Affiliates</w:t>
            </w:r>
          </w:p>
        </w:tc>
        <w:tc>
          <w:tcPr>
            <w:tcW w:w="240" w:type="dxa"/>
            <w:vAlign w:val="bottom"/>
          </w:tcPr>
          <w:p>
            <w:pPr>
              <w:spacing w:after="0"/>
              <w:rPr>
                <w:sz w:val="17"/>
                <w:szCs w:val="17"/>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50,035,408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64,189</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 from</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affiliates</w:t>
            </w: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50,271,387</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198,963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62,439</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5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139"/>
        </w:trPr>
        <w:tc>
          <w:tcPr>
            <w:tcW w:w="25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 from</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affiliates</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50,729,047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58,111</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5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related to net settlement of</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warrants with convertible note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139"/>
        </w:trPr>
        <w:tc>
          <w:tcPr>
            <w:tcW w:w="25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Beneficial conversion feature associated</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convertible note</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765,733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0" w:type="dxa"/>
            <w:vAlign w:val="bottom"/>
          </w:tcPr>
          <w:p>
            <w:pPr>
              <w:spacing w:after="0"/>
              <w:rPr>
                <w:sz w:val="1"/>
                <w:szCs w:val="1"/>
                <w:color w:val="auto"/>
              </w:rPr>
            </w:pPr>
          </w:p>
        </w:tc>
      </w:tr>
      <w:tr>
        <w:trPr>
          <w:trHeight w:val="198"/>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acquisition</w:t>
            </w: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Vested option awards assumed in</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connection with an acquisition</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139"/>
        </w:trPr>
        <w:tc>
          <w:tcPr>
            <w:tcW w:w="25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accrued relating to notes due from</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affiliates</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52,012,032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280" w:type="dxa"/>
            <w:vAlign w:val="bottom"/>
          </w:tcPr>
          <w:p>
            <w:pPr>
              <w:jc w:val="right"/>
              <w:ind w:right="211"/>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costs capitalized to obtain contracts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expense in connection with revesting notes (Note 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(income) expense,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revenue from affiliate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2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3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2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 net of cash acquired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advance on convertible note receivable</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options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repayment of notes due from affiliates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borrowings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convertible notes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in advance of the issuance of convertible notes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(used)/provided by financing activities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231,345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56,611</w:t>
            </w:r>
          </w:p>
        </w:tc>
      </w:tr>
      <w:tr>
        <w:trPr>
          <w:trHeight w:val="898"/>
        </w:trPr>
        <w:tc>
          <w:tcPr>
            <w:tcW w:w="81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94"/>
        </w:trPr>
        <w:tc>
          <w:tcPr>
            <w:tcW w:w="81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taxes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stock issued in connection with an acquisition</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convertible debt issued in connection with an acquisition</w:t>
            </w:r>
          </w:p>
        </w:tc>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contingent consideration issued in connection with an acquisition</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vested options assumed in connection with an acquisition</w:t>
            </w:r>
          </w:p>
        </w:tc>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Forgiveness of convertible note receivable in connection an acquisition</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Relative fair value of warrants issued with convertible debt</w:t>
            </w:r>
          </w:p>
        </w:tc>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Beneficial conversion feature related to convertible debt</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bifurcated derivative related to convertible debt</w:t>
            </w:r>
          </w:p>
        </w:tc>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warrants held as investment in affiliate</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Fair value of stock issued in settlement of contingent consideration</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non-cash investing and financing activities: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37,984</w:t>
            </w:r>
          </w:p>
        </w:tc>
      </w:tr>
    </w:tbl>
    <w:p>
      <w:pPr>
        <w:spacing w:after="0" w:line="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table of cash, cash equivalents, and restricted cash reported within the balance sheets totaling the same such amounts shown above: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Life360, Inc. (the “Company”) is a leading technology platform, based on market share of the family safety and location sharing app market, to locate the people, pets and things that matter most to families. The Company was incorporated in the State of Delaware in April 2007. The Company’s core offering, the Life360 mobile application, is now a market leading mobile application for families, with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monetization arrangements with certain commercial third parties (“Data Revenue Partners”) through Lead Gen and license agreements (including aggregated insights into the data collected from the Company’s user base). On September 1, 2021, the Company acquired all ownership interests of Jio, Inc (“Jiobit”). Jiobit is a provider of wearable location devices for young children, pets, and seniors. On January 5, 2022, the Company acquired all ownership interests of Tile, Inc. (“Tile”). Tile is a smart location company whose product includes a Bluetooth enabled device and related accessories that work in tandem with the Tile Application to enable its customers to locate lost or misplaced objects.</w:t>
      </w:r>
    </w:p>
    <w:p>
      <w:pPr>
        <w:spacing w:after="0" w:line="2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generally accepted accounting principles in the United States, or (“GAAP”), are presented in U.S. dollars unless otherwise stated, and include the accounts of Life360, Inc. and subsidiaries, Jio, Inc., Tile, Inc., Tile Europe Ltd and Tile Network Canada ULC. All inter-company transactions and balances have been eliminated.</w:t>
      </w:r>
    </w:p>
    <w:p>
      <w:pPr>
        <w:spacing w:after="0" w:line="176"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In management’s opinion, the condensed consolidated financial statements include all adjustments necessary to fairly state the Company’s financial position. All adjustments are of a normal recurring nature. The results for the three and nine months ended September 30, 2022 are not necessarily indicative of the results to be expected for any subsequent quarter or for the fiscal year ended December 31, 2022.</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within the condensed consolidated financial statements should be read in conjunction with the Company's consolidated financial statements and notes thereto included in the Company’s annual financial statements for the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 of revenue and expenses during the reporting period. Significant estimates made by management include, but are not limited to, the determination of revenue recognition, including the determination of selling prices for distinct performance obligations sold in multiple-performance obligation arrangements, the period over which revenue is recognized for certain arrangements, and estimated delivery dates for orders with title transfer upon delivery, accounts receivable allowance, product returns, promotional and marketing allowances, inventory valuation, average useful customer life, stock-based compensation, legal contingencies, assessment of possible impairment of long-lived assets and goodwill, valuation of contingent consideration, convertible notes and embedded derivatives, useful lives of long lived assets and income taxes including valuation allowances on deferred tax assets. The Company bases its estimates and judgments on historical experience and on various assumptions that it believes are reasonable under the circumstances. Actual results could differ significantly from those estimates.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Accounting for Contract Assets and Contract Liabilities from Contracts with Customers, which requires contract assets and contract liabilities (i.e., deferred revenue) acquired in a business combination to be recognized and measured by the acquirer on the acquisition date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guidance should be applied prospectively to acquisitions occurring on or after the effective date. The guidance is effective for the Company beginning January 1, 2024, and interim periods therein. Early adoption is permitted, including in interim periods, for any financial statements that have not yet been issued. The Company elected to early adopt ASU 2021-08 on September 1, 2021, and the Company has recorded the acquired deferred revenue based on historical carrying value rather than fair value in the condensed consolidated financial statements and related disclosures.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2019-12”), as part of its initiative to reduce complexity in accounting standards. ASU 2019-12 removes the following exceptions: exception to the incremental approach for intraperiod tax allocation; exception to accounting for basis differences when there are ownership changes in foreign investments; and exception to interim period tax accounting for year-to-date losses that exceed anticipated losses. ASU 2019-12 also improves financial reporting for franchise taxes that are partially based on income; transactions with a government that result in a step up in the tax basis of goodwill; separate financial statements of legal entities that are not subject to tax; and enacted changes in tax laws in interim periods. ASU 2019-12 is effective for public business entities in fiscal years beginning after December 15, 2020, including interim periods within those fiscal years. For all other entities, the standard is effective in fiscal years beginning after December 15, 2021, and interim periods within fiscal years beginning after December 15, 2022. Early adoption of the standard is permitted, including adoption in interim or annual periods for which financial statements have not yet been issued. On January 1, 2021, the Company adopted ASU 2019-12, and the standard did not have a material impact on its condensed consolidated financial statements and related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xml:space="preserve"> which changes the existing incurred loss impairment model for financial assets held at amortized cost. The new model uses a forward-looking expected loss method to calculate credit loss estimates. These changes will result in earlier recognition of credit losses. In March 2022, the FASB issued ASU 2022-02, </w:t>
      </w:r>
      <w:r>
        <w:rPr>
          <w:rFonts w:ascii="Times New Roman" w:cs="Times New Roman" w:eastAsia="Times New Roman" w:hAnsi="Times New Roman"/>
          <w:sz w:val="18"/>
          <w:szCs w:val="18"/>
          <w:i w:val="1"/>
          <w:iCs w:val="1"/>
          <w:color w:val="auto"/>
        </w:rPr>
        <w:t xml:space="preserve">Financial Instruments – Credit Losses: Troubled Debt Restructurings and Vintage Disclosures, </w:t>
      </w:r>
      <w:r>
        <w:rPr>
          <w:rFonts w:ascii="Times New Roman" w:cs="Times New Roman" w:eastAsia="Times New Roman" w:hAnsi="Times New Roman"/>
          <w:sz w:val="18"/>
          <w:szCs w:val="18"/>
          <w:color w:val="auto"/>
        </w:rPr>
        <w:t>which updates accounting guidance for troubled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restructurings by creditors and enhances disclosure requirements for certain loan refinancing and restructurings by creditors when a borrower is experiencing financial difficulty. Additionally, the amendments require an entity to disclose gross write-offs by year of origination for financing receivables. The amendments included within ASU 2022-02 become effective after the adoption of ASU 2016-13, which becomes effective for the Company on January 1, 2023 with early adoption permitted. The Company is currently evaluating the impact of the adoption of ASU 2016-13 and ASU 2022-02 on its condensed consolidated financial statements and related disclosures and does not expect a material impact.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(Subtopic 470-20) which simplifies the accounting for certain financial instruments with characteristics of liabilities and equity, including convertible instruments and contracts in an entity’s own equity. Among other changes, ASU 2020-06 removes from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or (2) a convertible debt instrument was issued at a substantial premium. Additionally, ASU 2020-06 requires the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if-converted method to calculate the impact of convertible instruments on diluted earnings per share, which will result in increased dilutive securities as the assumption of cash settlement of the notes will not be available for the purpose of calculating earnings per share. The provisions of ASU 2020-06 are effective for reporting periods beginning after December 15, 2023, with early adoption permitted for reporting periods beginning after December 15, 2020 and can be adopted on either a fully retrospective or modified retrospective basis. The Company is currently evaluating the timing, method of adoption, and overall impact of this standard on its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or services to customers at transaction price, an amount that reflects the consideration the Company expects to receive in exchange for those goods or services. Transaction price is calculated as selling price net of variable consideration which may include estimates for future returns and sales incentives related to current period revenue. The Company determines revenue recognition through the following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primarily hardware and subscription services for the Tile and Jiobit hardware tracking devices. For these contracts, the Company accounts for individual performance obligations separately if they are distinct. The transaction price is allocated to the separate performance obligations on a relative stand-alone selling price (“SSP”) basis with the amounts allocated to ongoing services deferred and recognized over a period of time and amounts allocated to hardware tracking devices recognized at a point-in time with a portion of the consideration being allocated to application usage (maintenance) and support. The Company determines SSP based on observable, if available, prices for those related goods and services when sold separately. When such observable prices are not available, the Company determines SSP based on multiple factors including consumer behaviors, the Company’s internal pricing model, and relative costs incurred plus a normal margin. The factors may vary depending upon the facts and circumstances related to each deliverable.</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hardware products, 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Guarantees, and the estimated costs of warranty claims are generally accrued as cost of revenue in the period the related revenue is recorded. See Note 11 “Commitments and Contingencies” for further details.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 recognizes hardware revenue at the net sales price, which includes certain estimates for variable consideration with our customers. The Company’s variable consideration is primarily in the form of promotional agreements and marketing development fund agreements in relation to the hardware tracking devices.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These agreements are designed to enhance the sale of the Company’s products and consist of incentives to the Company’s customers. The Company estimates variable considerations using the expected value method. All forms of variable consideration are recorded as contra-revenue and a corresponding liability in its condensed consolidated balance sheet. Certain agreements are estimates at period end due to the nature of the incentives or expected and yet-to-be announced incentive programs that apply to current period revenue transactions. These estimates are based on the Company’s incentive program experience, historical and projected sales data and current contractual terms. The remaining portion of this liability is based on contractual amounts and does not require estimation.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subscription revenue includes related support and is comprised of Life360 mobile application subscriptions as well as subscription service plans for the Tile and Jiobit hardware tracking devices. The Company’s subscription contracts with customers are established at the point of mobile application download and purchase as indicated through acceptance of the Company’s Terms of Use.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subscription service plan for the Tile and Jiobit hardware tracking device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Subscription revenue was $39.0 million and $23.1 million for the three months ended September 30, 2022 and 2021, respectively, and $107.9 million and $59.5 million for the nine months ended September 30, 2022 and 2021,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Revenue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derives hardware revenue from sale of the Tile and Jiobit hardware tracking devices and related accessories. For hardware and accessories, revenue is recognized at the time products are delivered. The Company offers limited rights of return and estimates reserves based on historical experience and records the reserves as a reduction of revenue and an accrued liability. Amounts billed to customers for shipping and handling are classified as revenue, and the Company’s related shipping and handling costs incurred are classified as cost of revenue. The customers are billed upon shipment of the hardware tracking devices. Sales taxes collected from customers and remitted to respective governmental authorities are recorded as liabilities and are not included in revenue.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hardware and the embedded operating system are one distinct performance obligation and separate from the subscription service plans for the Tile and Jiobit hardware tracking device. The Company’s embedded operating system is a component of the hardware that is integral to the functionality of the hardware and only together produce the essential functionality of the hardware. The Company offers extended warranties and hardware protection plans that are recognized over the contractual service period (typically 1 to 2 years).</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Hardware revenue was $11.7 million and $38 thousand for the three months ended September 30, 2022 and 2021, respectively, and $28.3 million and $38 thousand for the nine months ended September 30, 2022 and 2021,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Other revenue consists primarily of data revenue and partnership revenue. For the nine months ended September 30, 2022, the Company’s data revenue includes Life360 data monetization arrangements with certain third parties established through Data Master Service Agreements (collectively, “Data MSAs”), which outline specific terms governing the access and use of data and related fees. The Company determines a contract to exist upon the mutual execution of a Data MSA. Those customers historically had ability to access certain portions of the Company’s user data over the contract term, in which certain customers pay a fee based on average active monthly users. Most of the Company’s Data MSAs have been terminated as of September 30, 2022 as the Company has moved toward an aggregate data sales model.</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data to the customer.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In estimating variable consideration in data arrangements, the Company considers historical experience and other external factors that may impact the expectation of future data usage. At each reporting period, the Company assesses actual and expected data usage that will be earned for the duration of the contract term. The payment terms for Data MSAs are monthly.</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recognizes fees for certain data arrangements over time based on the fee per average active monthly user as the customer simultaneously receives and consumes the benefit of the services that the Company provides over the term of the agreement.</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January 2022, Life360 announced a new partnership agreement with Placer.ai (“Placer”), a prominent provider of aggregated analytics for the retail ecosystem, in which executives of the Company have an immaterial ownership interest through a passive investment vehicle. As part of this partnership, Placer will provide data processing and analytics services to Life360 and will have the right to commercialize aggregated data related to place visits during the term of the agreement. This partnership marked the beginning of Life360’s exit from its legacy data sales model and transition to commercialize solely aggregated data, while still providing members the option to opt out of even aggregated data sales. In keeping with the Company’s vision and consistent with that aggregated data sales model, the Company is exploring ways, in the future, to enable members to avail themselves of compelling offers and opportunities by enabling Company partners to use their data with members’ explicit, affirmative opt-in consent. The Placer agreement includes fixed monthly revenue amounts for access to aggregated data for the duration of the three-year agreement. The Company has a stand ready obligation to provide aggregated user data over the term of the agreement and recognizes revenue ratably based on the fixed monthly amounts.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agreement, Placer issued the Company a warrant to purchase up to 5,100,167 shares of Series C Preferred Stock at an exercise price of $4.90 per share. The grant of the warrant is considered noncash consideration, which the Company measured at fair value on the date of issuance. The warrant was valued using an option pricing model, and the fair value of approximately $5.4 million has been included as part of the transaction price of the Placer data partnership agreement, and will be included in prepaid expenses and other assets, noncurrent on the Company’s condensed consolidated balance sheets.</w:t>
      </w:r>
    </w:p>
    <w:p>
      <w:pPr>
        <w:spacing w:after="0" w:line="21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Data revenue was $5.5 million and $5.0 million for the three months ended September 30, 2022 and 2021, respectively, and $17.7 million and $13.6 million for the nine months ended September 30, 2022 and 2021, respectively.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Partnership revenue includes agreements with third parties to provide access to advertising on the Company’s mobile platform. The Company receives a percentage of the advertising spend as a fee, which is recognized as revenue on a net basis. The variable amounts earned under partnership revenue arrangements are allocable to the month in which the advertising is placed, which is reset on a monthly basis. As such, the Company will recognize revenue monthly based on the advertising 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Partnership revenue was $1.0 million and $1.6 million for the three months ended September 30, 2022 and 2021, respectively, and $3.1 million and $4.6 million for the nine months ended September 30,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allocated to remaining performance obligations was $30.9 million as of September 30, 2022, of which the Company expects $27.9 million to be recognized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Cost of subscription revenue includes all direct costs to deliver the Company’s subscription services. These costs include personnel-related costs associated with our cloud-based infrastructure and our customer support organization, third-party hosting fees, software, and maintenance costs, outside services associated with the delivery of our subscription services, personnel-related expenses,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Cost of other revenue consists of cloud-based hosting costs, as well as costs of product operations function and employee-related costs associated with our data platform.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Capitalized to Obtain Contracts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Costs capitalized to obtain contracts comprise of revenue-share payments to the Company’s Channel Partners in connection with annual subscription sales of the Company’s mobile application on each respective mobile application store platform as well as sales commissions paid to employees on hardware sales. Costs that are incremental and directly related to new customer sales contracts are accrued and capitalized upon execution of a non-cancelable customer contract, and subsequently expensed over the average life of the customer relationship, which is currently estimated to be two to three years depending on the subscription type. The Company has elected the practical expedient under ASC 340-40 to expense incremental costs of obtaining a contract if the amortization periods is one year or less.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makes judgments as to its ability to collect outstanding accounts receivable and provide allowances for accounts receivable when and if collection becomes doubtful. The Company evaluates the collectability of its accounts receivable based on review of its past-due balances, known collection risks and historical experience. In circumstances where the Company is aware of a specific customer’s potential inability to meet its financial obligations to the Company (e.g., bankruptcy filings or substantial downgrading of credit ratings), the Company records a specific reserve for bad debt against amounts due to reduce the net recognized receivable to the amount it reasonably believes will be collected. The allowance for doubtful accounts as of September 30, 2022 and December 31, 2021 and total bad debt expense for the three and nine months ended September 30, 2022 and 2021 was immaterial.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Contract Manufacturing</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Inventory is comprised of raw materials and finished goods related to the Tile and Jiobit hardware tracking devices and accessories. Inventory is stated at the lower of cost or net realizable value on a weighted average basis. The Company assesses the valuation of inventory and periodically writes down the value for estimated excess and obsolete inventory based upon estimates of future demand and market conditions. The Company’s inventory is held at third party warehouses and contract manufacturer premises.</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outsources a significant portion of its manufacturing to independent contract manufacturers in Asia. A significant portion of its cost of revenue consists of inventory purchased from these manufacturers.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 of ownership have passed to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and financial results are subject to various risks and uncertainties including adverse global economic conditions, such as the coronavirus (COVID-19) pandemic, and competition in our industry that could adversely affect our business, financial conditions, results of operations and cash flows. These important factors, among others, could cause our actual results to differ materially from any future results.</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individual consumers, who subscribe to the Company’s product offerings through market exchanges operated by channel partners,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its results of operations and financial condition.</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depends on the constant real-time performance, reliability and availability of our technology system and access to our partner’s networks. The Company primarily relies on a single technology partner for its cloud platform and a limited number of contract manufacturers to assemble components of the Jiobit and Tile hardware tracking devices. Any adverse impacts to the platform and the contract manufacturers could negatively impact our relationships with our partners or users and may adversely impact our business, financial performance, and reputation.</w:t>
      </w:r>
    </w:p>
    <w:p>
      <w:pPr>
        <w:spacing w:after="0" w:line="207"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The Company derives its accounts receivable from revenue earned from customers located in the United States and internationally. The Company does not perform ongoing credit evaluations of its customers’ financial condition and does not require collateral from its customers. Historically, bad debt expenses have been insignificant. Channel and retail partners account for the majority of the Company’s revenue and accounts receivable for all periods presented.</w:t>
      </w:r>
    </w:p>
    <w:p>
      <w:pPr>
        <w:spacing w:after="0" w:line="15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information about our channel and retail partners who represented greater than 10% of our revenue or accounts receivable,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31"/>
        </w:trPr>
        <w:tc>
          <w:tcPr>
            <w:tcW w:w="4740" w:type="dxa"/>
            <w:vAlign w:val="bottom"/>
          </w:tcPr>
          <w:p>
            <w:pPr>
              <w:spacing w:after="0"/>
              <w:rPr>
                <w:sz w:val="11"/>
                <w:szCs w:val="11"/>
                <w:color w:val="auto"/>
              </w:rPr>
            </w:pPr>
          </w:p>
        </w:tc>
        <w:tc>
          <w:tcPr>
            <w:tcW w:w="2280" w:type="dxa"/>
            <w:vAlign w:val="bottom"/>
            <w:gridSpan w:val="3"/>
          </w:tcPr>
          <w:p>
            <w:pPr>
              <w:jc w:val="center"/>
              <w:ind w:left="85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1"/>
                <w:szCs w:val="11"/>
                <w:color w:val="auto"/>
              </w:rPr>
            </w:pPr>
          </w:p>
        </w:tc>
      </w:tr>
      <w:tr>
        <w:trPr>
          <w:trHeight w:val="195"/>
        </w:trPr>
        <w:tc>
          <w:tcPr>
            <w:tcW w:w="4740" w:type="dxa"/>
            <w:vAlign w:val="bottom"/>
          </w:tcPr>
          <w:p>
            <w:pPr>
              <w:spacing w:after="0"/>
              <w:rPr>
                <w:sz w:val="16"/>
                <w:szCs w:val="16"/>
                <w:color w:val="auto"/>
              </w:rPr>
            </w:pPr>
          </w:p>
        </w:tc>
        <w:tc>
          <w:tcPr>
            <w:tcW w:w="228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Channel Partner B</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Partner 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Partner 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Represents less than 10%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Percentage of Gross Accounts</w:t>
      </w:r>
    </w:p>
    <w:p>
      <w:pPr>
        <w:spacing w:after="0" w:line="6"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13335</wp:posOffset>
            </wp:positionV>
            <wp:extent cx="248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p>
      <w:pPr>
        <w:spacing w:after="0" w:line="24"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33655</wp:posOffset>
            </wp:positionV>
            <wp:extent cx="12172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33655</wp:posOffset>
            </wp:positionV>
            <wp:extent cx="12090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8940" w:space="720"/>
            <w:col w:w="1560"/>
          </w:cols>
          <w:pgMar w:left="32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Borders>
              <w:top w:val="single" w:sz="8" w:color="CCEEFF"/>
            </w:tcBorders>
            <w:shd w:val="clear" w:color="auto" w:fill="CCEEFF"/>
          </w:tcPr>
          <w:p>
            <w:pPr>
              <w:spacing w:after="0"/>
              <w:rPr>
                <w:sz w:val="21"/>
                <w:szCs w:val="21"/>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Channel Partner B</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Partner A</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Represents less than 10%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charges costs related to research, design, and development of products to research and development expense as incurred. These costs consist of payroll related expenses, contractor fees, outside third-party vendors, and allocated facilities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Advertising expense was $4.4 million and $1.9 million for the three months ended September 30, 2022 and 2021, respectively, and $13.4 million and $4.3 million for the nine months ended September 30, 2022 and 2021, respectively. Advertising expenses are recorded in the period in which cost is incurred and are presented within sales and marketing expense on the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and cash equivalents include deposit and money market 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Deposits of $14.9 million and $0.4 million were restricted from withdrawal as of September 30, 2022 and December 31, 2021, respectively. $13.1 million of the restricted balance as of September 30, 2022 relates to funds placed in an indemnity escrow fund to be held for fifteen months after the acquisition date of Tile, Inc. for general representations and warranties. The remaining restricted cash balance as of September 30, 2022 relates to cash deposits restricted under letters of credit issued on behalf of the Company in support of indebtedness to trade creditors incurred in the ordinary course of business and to securing the Company’s facility leases. The $0.4 million balance restricted from withdrawal as of December 31, 2021 relates to facility lease agreements. These balances are included in restricted cash on the accompanying condensed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financial and non-financial assets and liabilities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54"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recorded carrying amounts of cash and cash equivalents, prepaid expenses, accounts payable, and accounts receivable as of September 30, 2022 and December 31, 2021 approximate fair value due to their short-term nature. Refer to Note 6 “Fair Value Measurements” for further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have estimated useful lives ranging from three to ten years. Leasehold improvements are amortized on a straight-line basis over the lesser of the estimated useful life or the term of the lease with expected renewals. As of September 30, 2022, all leasehold improvements are amortized over three years.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other income (expense), net in the period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For development costs related to internal use software projects, the Company capitalizes costs incurred during the application development stage. Costs related to preliminary project activities and post implementation activities are expensed as incurred. Internal use software is amortized on a straight-line basis over its estimated useful life of three years. The Company capitalized $0.7 million during the nine months ended September 30, 2022. Capitalized costs are included within intangible assets, net on the condensed consolidated balance sheet. The Company did not capitalize any internal use software costs during the nine months ended September 30, 2021 as the capitalizable costs were not 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non-cancellable, lease term when recognizing the lease assets and liabilities, unless it is reasonably certain that the renewal option will be exercised.</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 Refer to Note 8 “Balance Sheet Components” for additional lease disclosures.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Goodwill amounts are not amortized but tested for impairment on an annual basis during the fourth quarter. There was no impairment of goodwill during the three and nine months ended September 30, 2022 or the three and nine months ended September 30,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Intangible assets, including acquired patents, trademarks, customer relationships, and acquired developed technology are carried at cost and amortized on a straight-line basis over their estimated useful lives. The Company determines the appropriate useful life of the Company’s intangible assets by measuring the expected cash flows of acquired assets. There was no impairment of intangible assets recorded during the three and nine months ended September 30, 2022 or the three and nine months ended September 30,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reviews long-lived assets for impairment at least annually, or more frequently if events or changes in circumstances would more likely than not reduce the fair value of its single reporting unit below its carrying value. There was no impairment of long-lived assets recognized during the three and nine months ended September 30, 2022 or the three and nine months ended September 30,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revenue recognition under the Company’s subscription arrangements.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condensed consolidated balance sheets.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Affiliate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Investment in affiliate relates to non-marketable equity securities held in a privately held company without a readily determinable market value. Non-marketable equity securities consist of warrants held to purchase shares of preferred stock of a Data Revenue Partner, refer to Note 2 “Summary of Significant Accounting Policies” for additional information regarding the Company’s Data Revenue Partner. Investments in non-public businesses that do not have readily determinable pricing, and for which the Company does not have control or does not exert significant influence, are carried at cost less impairments, if any, plus or minus changes in observable prices for those investments. Gains or losses resulting from changes in the carrying value of these investments are included as a non-operating expense to the Company’s condensed consolidated statements of operations and comprehensive loss. There have been no adjustments to the basis of the Company’s investment in affiliate to date. The carrying value of the Company’s investment in affiliate is included in prepaid expenses and other assets, noncurrent in the condensed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addition, the Company has issued warrants in connection with the convertible note agreements. The warrants are recorded as equity instruments at the grant date fair value using the Black-Scholes option pricing model. The fair value has been recorded as a debt discount that is being amortized to interest expense under the straight-line method over the term of respective convertible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2020, the Company granted a market performance award to an executive that is subject to time-based vesting requirements in which vesting is contingent upon the Company’s achievement of certain market performance goals. The fair value of such performance awards was determined using a Monte Carlo simulation and is recognized under the accelerated attribution method over a four year period.</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2021, the Company issued stock options and restricted stock that have performance-based vesting conditions.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Refer to Note 14 “Equity Incentive Plan” for further details.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a valuation allowance is required often requires significant judgment including current and historical operating results, the forecast of future taxable income and on-going prudent and feasible tax planning initiatives.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Company did not accrue any interest or penalties related to income tax positions during the three and nine months ended September 30, 2022 or the three and nine months ended September 30,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computes basic and diluted net loss per share in conformity with ASC 260, “Earnings per Share.” Basic net loss per share is calculated by dividing the net loss by the weighted-average number of shares of common stock outstanding during the period without consideration for potentially dilutive securities as they do not share in losses. The diluted net loss per share is computed giving effect to all potential dilutive common stock equivalents outstanding for the period. For purposes of this calculation, options to purchase common stock, common stock warrants, common stock convertible notes, and unvested restricted stock units are considered common stock equivalents but have been excluded from the calculation of diluted net loss per share as the effect is antidilutive.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Revenue by geography is generally based on the address of the customer as defined in the contract with the customer. The following table sets forth revenue by geographic area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52,041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72,150</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 regions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57,153</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29,697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156,967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77,698</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Deferred Revenue</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Deferred revenue, which is a contract liability, consists primarily of payments received and accounts receivable recorded in advance of revenue recognition under the Company’s contracts with customers and is recognized as the revenue recognition criteria are met.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 forward of the Company’s deferred revenue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deferred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62,041</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revenue in the period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(59,686)</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acquired deferred revenue balance of $1.2 million for the three months ended September 30, 2022 relates to a measurement period adjustment to the preliminary purchase price allocation for the acquisition of Tile, Inc. Refer to Note 7 “Business Combinations” for additional information.</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Costs Capitalized to Obtain Contracts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Renewal contracts are considered non-commensurate with new contracts as the Company pays a different commission rate for renewals. Accordingly, the guidance requires that specifically anticipated renewal periods should be taken into consideration in determining the required amortization period. Specifically, under the guidance of ASC 340-40, the Company is required to estimate the specifically anticipated renewals after the initial contract to which the initial commission asset relates. The total amortization period is then equal to the initial contractual term plus all specifically anticipated renewals that relate to the initial commission asset. Based upon its assessment of historical data and other factors, the Company concluded that its average customer life was approximately two to three years depending on the subscription type, which is used as the amortization period for all capitalized contract acquisition costs for that subscription type.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 forward of the Company’s costs capitalized to obtain contracts, net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costs to obtain contracts, beginning of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costs capitalized to obtain contracts</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capitalized costs to obtain contracts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capitalized costs to obtain contracts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costs to obtain contracts, end of period</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These liabilities are considered Level 3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these instruments as of September 30, 2022 and December 31, 2021 are classified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liability (Note 10)</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(Note 9)</w:t>
            </w: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liability (Note 10)</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(Note 9)</w:t>
            </w:r>
          </w:p>
        </w:tc>
        <w:tc>
          <w:tcPr>
            <w:tcW w:w="10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4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change in fair value of the Level 3 instruments were as follows (in thousands):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1"/>
                <w:szCs w:val="11"/>
                <w:color w:val="auto"/>
              </w:rPr>
            </w:pPr>
          </w:p>
        </w:tc>
        <w:tc>
          <w:tcPr>
            <w:tcW w:w="12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200"/>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 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220" w:type="dxa"/>
            <w:vAlign w:val="bottom"/>
          </w:tcPr>
          <w:p>
            <w:pPr>
              <w:spacing w:after="0"/>
              <w:rPr>
                <w:sz w:val="17"/>
                <w:szCs w:val="17"/>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8"/>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10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Vesting of revesting notes</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revesting notes</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convertible notes (Note 9)</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in settlement of contingent consideration</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0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quarter</w:t>
            </w: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1"/>
                <w:szCs w:val="11"/>
                <w:color w:val="auto"/>
              </w:rPr>
            </w:pPr>
          </w:p>
        </w:tc>
        <w:tc>
          <w:tcPr>
            <w:tcW w:w="126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6"/>
        </w:trPr>
        <w:tc>
          <w:tcPr>
            <w:tcW w:w="6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(Note 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220" w:type="dxa"/>
            <w:vAlign w:val="bottom"/>
          </w:tcPr>
          <w:p>
            <w:pPr>
              <w:spacing w:after="0"/>
              <w:rPr>
                <w:sz w:val="17"/>
                <w:szCs w:val="17"/>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derivative liability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revesting notes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contingent consideration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year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recorded a loss associated with the change in fair value of the derivative liability of $0.1 million and gain of $1.2 million, respectively. For the three and nine months ended September 30, 2022, the Company recorded a loss associated with convertible notes of $0.2 million and gain of $1.9 million, respectively. For the year ended December 31, 2021, the Company had recorded a loss associated with the change in fair value of the derivative liability and convertible notes of $0.7 million and $0.5 million, respectively. The amounts have been recorded in other income (expense), net in the condensed consolidated statement of operations and comprehensive loss.</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recorded a gain associated with the change in fair value of the contingent consideration of $0 million and $5.3 million for the three and nine months ended September 30, 2022, in general and administrative expense in the condensed consolidated statement of operations and comprehensive loss. For the three and nine months ended September 30, 2021, the Company recorded a loss associated with the change in fair value of the derivative liability of $0.4 million and gain of $0.4 million, respectively. No gain or loss associated with changes in fair value of convertible notes or contingent consideration were recorded for the three and nine months ended September 30, 2021.</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Jio,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 2021, the Company completed the acquisition of Jiobit, a privately held consumer electronics company that specializes in the production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low powered sensors and wearables. The company is based in Chicago, Illinois with an additional development center in Silicon Valley, California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founded in 2015. Jiobit has developed a small and long-lasting tracking solution. The mobile app, which is run through a wireless subscription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offers a comprehensive set of monitoring and notification features. The addition of Jiobit is expected to strengthen and extend the Company’s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leadership position by leveraging Jiobit’s developed technology and customer relationships to accelerate the Company’s own product development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augment the Company with a critical mass of talent with strong tracking/wearables experience. The aggregate purchase consideration was $43.2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$7.3 million was paid in cash, $5.9 million of contingent consideration was payable upon reaching certain operational goals for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million representing the fair value of convertible notes (the “September 2021 Convertible Notes”), $4.0 million representing forgiveness of Jiobit’s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debt held by the Company, $0.6 million comprised of 25,245 vested common stock options issued to Jiobit employees (“replacement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$13.8 million comprised of 674,516 shares of the Company’s common stock. Of the consideration transferred, $0.2 million in cash was placed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escrow fund to be held for fifteen months after the acquisition date for general representations and warranties.</w:t>
      </w:r>
    </w:p>
    <w:p>
      <w:pPr>
        <w:spacing w:after="0" w:line="2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September 2021 Convertible Notes issued as part of the purchase consideration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of the present value of the cash flows and the Black-Scholes option pricing model using assumptions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As of September 1,</w:t>
            </w:r>
          </w:p>
        </w:tc>
        <w:tc>
          <w:tcPr>
            <w:tcW w:w="24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16"/>
                <w:szCs w:val="16"/>
                <w:color w:val="auto"/>
              </w:rPr>
            </w:pPr>
          </w:p>
        </w:tc>
        <w:tc>
          <w:tcPr>
            <w:tcW w:w="16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203"/>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158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11,206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6,730</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fair value per share</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20.49</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price per share</w:t>
            </w:r>
          </w:p>
        </w:tc>
        <w:tc>
          <w:tcPr>
            <w:tcW w:w="220" w:type="dxa"/>
            <w:vAlign w:val="bottom"/>
          </w:tcPr>
          <w:p>
            <w:pPr>
              <w:spacing w:after="0"/>
              <w:rPr>
                <w:sz w:val="19"/>
                <w:szCs w:val="19"/>
                <w:color w:val="auto"/>
              </w:rPr>
            </w:pPr>
          </w:p>
        </w:tc>
        <w:tc>
          <w:tcPr>
            <w:tcW w:w="16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22.50</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exercise (in years)</w:t>
            </w:r>
          </w:p>
        </w:tc>
        <w:tc>
          <w:tcPr>
            <w:tcW w:w="220" w:type="dxa"/>
            <w:vAlign w:val="bottom"/>
          </w:tcPr>
          <w:p>
            <w:pPr>
              <w:spacing w:after="0"/>
              <w:rPr>
                <w:sz w:val="19"/>
                <w:szCs w:val="19"/>
                <w:color w:val="auto"/>
              </w:rPr>
            </w:pPr>
          </w:p>
        </w:tc>
        <w:tc>
          <w:tcPr>
            <w:tcW w:w="16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9"/>
                <w:szCs w:val="19"/>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dividend yield</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A total of $6.0 million was excluded from purchase consideration which consists of $1.9 million comprised of 91,217 shares of the Company’s common stock (“Revesting Stock” – Note 14) and $1.6 million comprised of convertible notes (“Revesting Notes”) issued to key employees, retention bonuses of $1.0 million, and $0.5 million comprised of 43,083 unvested common stock options issued to Jiobit employees (“Unvested Replacement Awards” – Note 14). The Company incurred transaction related expenses of $1.0 million, which were expensed as incurred and recorded under general and administrative expenses in the condensed consolidated statements of operations and comprehensive loss.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Revesting Stock and Revesting Notes are restricted and vest with continuous employment of certain key employees over a 3-year period subsequent to the acquisition. The Revesting Stock is recognized in general and administrative expense as the Revesting Stock vests. In April 2022, one of the key employees exited the Company, and so the entirety of their Revesting Notes and Revesting Stock was forfeited. The Company recorded $0.3 million as stock-based compensation included in general and administrative expense related to the forfeiture of their Revesting Stock and $0.3 million as compensation included in general and administrative expense related to the forfeiture of their Revesting Notes.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recorded an immaterial amount and $0.2 million as stock-based compensation included in general and administrative expense related to the vesting of the Revesting Stock for the three and nine months ended September 30, 2022.</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records the Revesting Notes at fair value and will remeasure the Revesting Notes at fair value on each reporting date. The Revesting Notes are recognized in general and administrative expense.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an immaterial amount and $0.2 million as general and administrative and expense related to the changes in fair value of Revesting Notes during the three and nine months ended September 30, 2022, respectively.</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retention bonuses are recognized in prepaid expenses and other assets, noncurrent in the condensed consolidated balance sheet and vest monthly over a period of 24 months and require continuous employment. The expense associated with the Unvested Replacement Awards is recognized as stock-based compensation ratably over the remaining service period.</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2021 and 2022 contingent consideration is based on the achievement of a Qualifying Units Sold Target for the period January 1, 2021 through December 31, 2021 (“2021 Contingent Consideration”) and for the period January 1, 2022 through December 31, 2022 (“2022 Contingent Consideration,” collectively, “Contingent Consideration”). The Contingent Consideration consists of 301,261 and 451,891 shares for 2021 and 2022, respectively, with the amount paid equal to the attainment relative to target in each year and settled in shares of the Company’s common stock. The Contingent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Consideration shares payable is determined based on the percentage achievement relative to the target in each period, respectively, with greater than 100% attainment resulting in 100% payment, 90% to 100% attainment resulting in the number of shares equal to the percentage attainment, and less than 90% attainment equal to no consideration. The Contingent Consideration is held at fair value with changes in fair value recognized in general and administrative expense. The estimated fair value of the Contingent Consideration is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 The estimated fair value of the 2021 and 2022 Contingent Consideration upon issuance was $0.1 million and $5.8 million, respectively. The estimated fair value of the 2021 and 2022 Contingent Consideration as of December 31, 2021 was $6.3 million and $3.1 million, respectively. The Company recorded a $0 million and $5.3 million gain within general and administrative expense related to the change in the fair value of the Contingent Consideration during the three and nine months ended September 30, 2022, respectively.</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April 2022, the Board of Directors and previous Jiobit shareholders approved an amendment to the 2021 Contingent Consideration. The 2021 Contingent Consideration was amended to 50% of the total potential amount of which 376,573 shares of the Company’s common stock were issued to shareholders. The fair value of the common stock of $4.2 million was recorded to additional paid-in capital and the contingent consideration liability was reversed.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The total purchase price of $43.2 million was allocated to the net tangible and intangible assets and liabilities based on their estimated fair values on the acquisition date and the excess was recorded to goodwill. The provisional values assigned to the assets acquired and liabilities assumed are based on preliminary estimates of fair value available as of the date of these financial statements and may be adjusted during the measurement period of up to 12 months from the date of acquisition. Any changes in the fair values of the assets acquired and liabilities assumed during the measurement period may result in adjustments to goodwill.</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acquisition were recorded at their fair value on the date of acquisition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48"/>
        </w:trPr>
        <w:tc>
          <w:tcPr>
            <w:tcW w:w="9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(in thousands) and their estimated useful lives as of the date of acquisition: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37"/>
        </w:trPr>
        <w:tc>
          <w:tcPr>
            <w:tcW w:w="8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of Jiobit.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estimated and recorded a net deferred tax liability of $0.1 million after offsetting the acquired available tax attributes with the intangible assets shown in the table above. Refer to Note 15 “Income Taxes” for discussion of the partial release of the Company’s valuation allowance relating to the deferred tax liability.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results of operations of Jiobit are included in the accompanying condensed consolidated statements of operations and comprehensive loss from the date of acquisition.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5, 2022, the Company completed the acquisition of Tile, Inc. (“Tile”), a privately held consumer electronics company. The company is based in San Mateo, California and was founded in 2012. Tile is a smart location company whose product includes a Bluetooth enabled device and related accessories that work in tandem with the Tile Application (the “Application”), to enable its customers to locate lost or misplaced objects. Tile offers a comprehensive list of products to use with the application, along with optional subscription services to enhance features offered for Tile products. The addition of Tile is expected to strengthen and extend Life360’s market leadership position by leveraging Tile’s developed technology and customer relationships to accelerate the Company’s own product development and augment the Life360 team with a critical mass of talent. The aggregate purchase consideration was $173.6 million, of which $158.0 million was paid in cash and $15.6 million paid in equity. The $15.6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total of $35.0 million was excluded from purchase consideration which consists of retention consideration of 1,499,349 shares of retention restricted stock units valued at $29.6 million, $0.4 million related to 38,730 vested common stock options issued to Tile employees (“replacement awards”) as stock-based compensation on the acquisition date and change in control bonuses of $3.0 million which were recognized as compensation expense on the condensed consolidated statements of operations on the acquisition date. The Company incurred transaction related expenses of $1.7 million, which were recorded under general and administrative expenses in the condensed consolidated statements of operations. The remaining costs excluded from purchase consideration were a result of 1,561 shares granted to key employee and vested based continued employment and 4,784 shares of contingent consideration granted to a key employee and vested based on continued employment.</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Of the 1,499,349 shares of retention restricted stock units, 787,446 shares valued at $15.6 million contain performance vesting criteria based on the achievement of certain company milestones, and vest over a two year period. The remaining retention restricted stock units of 711,903 shares vest over a two to four year period.</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contingent consideration is based on the achievement of the Company’s achievement certain targets for revenue and earnings before interest, taxes, depreciation, and amortization (“EBITDA”) for the three months ended December 31, 2021 and the three months ended September 30, 2022. The Company determined that the criteria to satisfy the contingent consideration was not met, and as such, no value was ascribed to the contingent consideration.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are based on preliminary estimates of fair value available as of the date of these financial statements and certain assets and liabilities may be subject to adjustment during the measurement period of up to 12 months from the date of acquisition including, but not limited to, intangible assets, certain reserves and income taxes. Any changes in the fair values of the assets acquired and liabilities assumed during the measurement period may result in adjustments to goodwill.</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made a measurement period adjustment to the preliminary purchase price allocation which included: (i) an increase to goodwill of $0.4 million, (ii) an increase to deferred revenue of $1.2 million, and (iii) an increase to inventory of $0.8 million. The measurement period adjustment was made to reflect facts and circumstances that existed as of the acquisition date and is reflected in the table below.</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acquisition were recorded at their fair value on the date of acquisition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32,997</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102,493</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(23,197)</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(10,081)</w:t>
            </w:r>
          </w:p>
        </w:tc>
      </w:tr>
      <w:tr>
        <w:trPr>
          <w:trHeight w:val="248"/>
        </w:trPr>
        <w:tc>
          <w:tcPr>
            <w:tcW w:w="9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of Tile.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results of operations of Tile are included in the accompanying condensed consolidated statements of operations and comprehensive loss from the date of acquisition.</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00" w:type="dxa"/>
            <w:vAlign w:val="bottom"/>
          </w:tcPr>
          <w:p>
            <w:pPr>
              <w:spacing w:after="0"/>
              <w:rPr>
                <w:sz w:val="16"/>
                <w:szCs w:val="16"/>
                <w:color w:val="auto"/>
              </w:rPr>
            </w:pPr>
          </w:p>
        </w:tc>
        <w:tc>
          <w:tcPr>
            <w:tcW w:w="15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4"/>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00" w:type="dxa"/>
            <w:vAlign w:val="bottom"/>
          </w:tcPr>
          <w:p>
            <w:pPr>
              <w:spacing w:after="0"/>
              <w:rPr>
                <w:sz w:val="16"/>
                <w:szCs w:val="16"/>
                <w:color w:val="auto"/>
              </w:rPr>
            </w:pPr>
          </w:p>
        </w:tc>
        <w:tc>
          <w:tcPr>
            <w:tcW w:w="15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00" w:type="dxa"/>
            <w:vAlign w:val="bottom"/>
          </w:tcPr>
          <w:p>
            <w:pPr>
              <w:spacing w:after="0"/>
              <w:rPr>
                <w:sz w:val="24"/>
                <w:szCs w:val="24"/>
                <w:color w:val="auto"/>
              </w:rPr>
            </w:pPr>
          </w:p>
        </w:tc>
        <w:tc>
          <w:tcPr>
            <w:tcW w:w="15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certain cloud platform and customer service program costs. Other receivables primarily consist of refunds and other deposits.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ectPr>
          <w:pgSz w:w="11900" w:h="16838" w:orient="portrait"/>
          <w:cols w:equalWidth="0" w:num="1">
            <w:col w:w="11220"/>
          </w:cols>
          <w:pgMar w:left="320" w:top="225" w:right="359" w:bottom="1440" w:gutter="0" w:footer="0" w:header="0"/>
        </w:sectPr>
      </w:pPr>
    </w:p>
    <w:p>
      <w:pPr>
        <w:spacing w:after="0" w:line="25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33655</wp:posOffset>
            </wp:positionV>
            <wp:extent cx="1097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33655</wp:posOffset>
            </wp:positionV>
            <wp:extent cx="10972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9140" w:space="620"/>
            <w:col w:w="1460"/>
          </w:cols>
          <w:pgMar w:left="32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manufacturing equipment</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Depreciation expense was $0.1 million and $0.3 million for the three and nine months ended September 30, 2022 and $0.2 million and $0.4 million for the three and nine months ended September 30, 2021,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 noncurrent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noncurrent consist of the following (in thousands):</w:t>
      </w:r>
    </w:p>
    <w:p>
      <w:pPr>
        <w:sectPr>
          <w:pgSz w:w="11900" w:h="16838" w:orient="portrait"/>
          <w:cols w:equalWidth="0" w:num="1">
            <w:col w:w="11240"/>
          </w:cols>
          <w:pgMar w:left="320" w:top="225" w:right="339" w:bottom="1440" w:gutter="0" w:footer="0" w:header="0"/>
        </w:sectPr>
      </w:pPr>
    </w:p>
    <w:p>
      <w:pPr>
        <w:spacing w:after="0" w:line="25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33655</wp:posOffset>
            </wp:positionV>
            <wp:extent cx="1097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33655</wp:posOffset>
            </wp:positionV>
            <wp:extent cx="1097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9140" w:space="620"/>
            <w:col w:w="148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assets, noncurrent</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1"/>
        </w:trPr>
        <w:tc>
          <w:tcPr>
            <w:tcW w:w="7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cloud platform costs. Investment in affiliate relates to warrants to purchase shares of common stock of a current Data Revenue Partner. Refer to Note 3 “Revenue”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currently leases real estate space under non-cancelable operating lease agreements for its corporate headquarters in San Francisco, San Mateo and San Diego, California and Chicago, Illinois. The operating leases have remaining lease terms of up to 2 years, some of which include the option to extend the lease.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recognized a right-of-use (ROU) asset, short term and long-term lease liabilities of $1.5 million, $1.3 million, and $0.2 million in “Right-of-use-asset,” “Accrued expenses and other liabilities,” and “Other noncurrent liabilities,” respectively, on the Company’s condensed consolidated balance sheet as of September 30, 2022.</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recognized operating ROU assets, short term and long-term lease liabilities of $1.6 million, $1.6 million, and $0.3 million in “Right-of-use-asset,” “Accrued expenses and other liabilities,” and “Other noncurrent liabilities,” respectively, on the Company’s condensed consolidated balance sheet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finance leases as of September 30, 2022 or December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bl>
    <w:p>
      <w:pPr>
        <w:spacing w:after="0" w:line="24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short-term leases, which are immaterial.</w:t>
      </w:r>
    </w:p>
    <w:p>
      <w:pPr>
        <w:spacing w:after="0" w:line="198"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The weighted-average remaining term of the Company’s operating leases was 1.0 years and 1.3 years as of September 30, 2022 and December 31, 2021, respectively, and the weighted-average discount rate used to measure the present value of the operating lease liabilities was 5.0% and 4.8%, respectively.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operating lease liabilities, which do not include short-term leases, as of September 30, 2022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0"/>
        </w:trPr>
        <w:tc>
          <w:tcPr>
            <w:tcW w:w="9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Payments for operating leases included in cash from operating activities were $0.6 million and $1.8 million for the three and nine months ended September 30, 2022 and $0.4 million and $1.1 million for the three and nine months ended September 30,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consists of the following (in thousands):</w:t>
      </w:r>
    </w:p>
    <w:p>
      <w:pPr>
        <w:sectPr>
          <w:pgSz w:w="11900" w:h="16838" w:orient="portrait"/>
          <w:cols w:equalWidth="0" w:num="1">
            <w:col w:w="11240"/>
          </w:cols>
          <w:pgMar w:left="320" w:top="225" w:right="339" w:bottom="1440" w:gutter="0" w:footer="0" w:header="0"/>
        </w:sectPr>
      </w:pPr>
    </w:p>
    <w:p>
      <w:pPr>
        <w:spacing w:after="0" w:line="259"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33655</wp:posOffset>
            </wp:positionV>
            <wp:extent cx="1157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35"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33655</wp:posOffset>
            </wp:positionV>
            <wp:extent cx="1157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3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9000" w:space="700"/>
            <w:col w:w="15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gross</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Amortization expense was $2.2 million and $6.5 million for the three and nine months ended September 30, 2022. $0.1 million of amortization expense was recorded for the three and nine months ended September 30,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estimated remaining amortization expense for intangible assets by fiscal year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Beyond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17,504</w:t>
            </w:r>
          </w:p>
        </w:tc>
      </w:tr>
      <w:tr>
        <w:trPr>
          <w:trHeight w:val="248"/>
        </w:trPr>
        <w:tc>
          <w:tcPr>
            <w:tcW w:w="9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useful lives of the Company’s acquired intangible assets are as follows:</w:t>
      </w:r>
    </w:p>
    <w:p>
      <w:pPr>
        <w:spacing w:after="0" w:line="286"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Weighted-Average Remaining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33655</wp:posOffset>
            </wp:positionV>
            <wp:extent cx="22542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5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33655</wp:posOffset>
            </wp:positionV>
            <wp:extent cx="1097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33655</wp:posOffset>
            </wp:positionV>
            <wp:extent cx="1097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9140" w:space="620"/>
            <w:col w:w="148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gridSpan w:val="5"/>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9.2 years</w:t>
            </w:r>
          </w:p>
        </w:tc>
        <w:tc>
          <w:tcPr>
            <w:tcW w:w="14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9.7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5"/>
          </w:tcPr>
          <w:p>
            <w:pPr>
              <w:jc w:val="center"/>
              <w:ind w:left="154"/>
              <w:spacing w:after="0"/>
              <w:rPr>
                <w:sz w:val="20"/>
                <w:szCs w:val="20"/>
                <w:color w:val="auto"/>
              </w:rPr>
            </w:pPr>
            <w:r>
              <w:rPr>
                <w:rFonts w:ascii="Times New Roman" w:cs="Times New Roman" w:eastAsia="Times New Roman" w:hAnsi="Times New Roman"/>
                <w:sz w:val="18"/>
                <w:szCs w:val="18"/>
                <w:color w:val="auto"/>
              </w:rPr>
              <w:t>4.2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4.5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5"/>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7.4 years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9.7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detail of intangible assets, net is as follows (in thousands):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9"/>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Intellectual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w w:val="98"/>
              </w:rPr>
              <w:t>Licenses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Trade</w:t>
            </w:r>
          </w:p>
        </w:tc>
        <w:tc>
          <w:tcPr>
            <w:tcW w:w="20" w:type="dxa"/>
            <w:vAlign w:val="bottom"/>
          </w:tcPr>
          <w:p>
            <w:pPr>
              <w:spacing w:after="0"/>
              <w:rPr>
                <w:sz w:val="11"/>
                <w:szCs w:val="11"/>
                <w:color w:val="auto"/>
              </w:rPr>
            </w:pPr>
          </w:p>
        </w:tc>
        <w:tc>
          <w:tcPr>
            <w:tcW w:w="114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5"/>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1"/>
                <w:szCs w:val="11"/>
                <w:color w:val="auto"/>
              </w:rPr>
            </w:pPr>
          </w:p>
        </w:tc>
        <w:tc>
          <w:tcPr>
            <w:tcW w:w="920" w:type="dxa"/>
            <w:vAlign w:val="bottom"/>
            <w:gridSpan w:val="6"/>
          </w:tcPr>
          <w:p>
            <w:pPr>
              <w:jc w:val="right"/>
              <w:ind w:right="50"/>
              <w:spacing w:after="0" w:line="129" w:lineRule="exact"/>
              <w:rPr>
                <w:sz w:val="20"/>
                <w:szCs w:val="20"/>
                <w:color w:val="auto"/>
              </w:rPr>
            </w:pPr>
            <w:r>
              <w:rPr>
                <w:rFonts w:ascii="Times New Roman" w:cs="Times New Roman" w:eastAsia="Times New Roman" w:hAnsi="Times New Roman"/>
                <w:sz w:val="14"/>
                <w:szCs w:val="14"/>
                <w:b w:val="1"/>
                <w:bCs w:val="1"/>
                <w:color w:val="auto"/>
              </w:rPr>
              <w:t>Internal use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 w:type="dxa"/>
            <w:vAlign w:val="bottom"/>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40" w:type="dxa"/>
            <w:vAlign w:val="bottom"/>
          </w:tcPr>
          <w:p>
            <w:pPr>
              <w:spacing w:after="0"/>
              <w:rPr>
                <w:sz w:val="17"/>
                <w:szCs w:val="17"/>
                <w:color w:val="auto"/>
              </w:rPr>
            </w:pPr>
          </w:p>
        </w:tc>
        <w:tc>
          <w:tcPr>
            <w:tcW w:w="9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23,380</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22,685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4"/>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701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6"/>
              </w:rPr>
              <w:t>62,518</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(1,839)</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8"/>
              </w:rPr>
              <w:t>(3,839)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(1,424)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21,541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18,846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4"/>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681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6"/>
              </w:rPr>
              <w:t>54,934</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9"/>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6"/>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Intellectual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Trade</w:t>
            </w:r>
          </w:p>
        </w:tc>
        <w:tc>
          <w:tcPr>
            <w:tcW w:w="100" w:type="dxa"/>
            <w:vAlign w:val="bottom"/>
          </w:tcPr>
          <w:p>
            <w:pPr>
              <w:spacing w:after="0"/>
              <w:rPr>
                <w:sz w:val="11"/>
                <w:szCs w:val="11"/>
                <w:color w:val="auto"/>
              </w:rPr>
            </w:pPr>
          </w:p>
        </w:tc>
        <w:tc>
          <w:tcPr>
            <w:tcW w:w="12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6"/>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3,380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rPr>
              <w:t>4,285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990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8"/>
              </w:rPr>
              <w:t>9,117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rPr>
              <w:t>3,762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957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rPr>
              <w:t>7,986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consists of the following (in thousands):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Balance as of September 30, 2022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660"/>
        <w:spacing w:after="0"/>
        <w:tabs>
          <w:tab w:leader="none" w:pos="2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31,127</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102,493</w:t>
      </w:r>
    </w:p>
    <w:p>
      <w:pPr>
        <w:spacing w:after="0" w:line="31" w:lineRule="exact"/>
        <w:rPr>
          <w:sz w:val="20"/>
          <w:szCs w:val="20"/>
          <w:color w:val="auto"/>
        </w:rPr>
      </w:pPr>
    </w:p>
    <w:p>
      <w:pPr>
        <w:jc w:val="both"/>
        <w:ind w:left="1660"/>
        <w:spacing w:after="0"/>
        <w:tabs>
          <w:tab w:leader="none" w:pos="2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133,620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43180</wp:posOffset>
            </wp:positionV>
            <wp:extent cx="10629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As of September 30,</w:t>
      </w:r>
      <w:r>
        <w:rPr>
          <w:sz w:val="20"/>
          <w:szCs w:val="20"/>
          <w:color w:val="auto"/>
        </w:rPr>
        <w:tab/>
      </w: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33655</wp:posOffset>
            </wp:positionV>
            <wp:extent cx="22542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35" w:lineRule="exact"/>
        <w:rPr>
          <w:sz w:val="20"/>
          <w:szCs w:val="20"/>
          <w:color w:val="auto"/>
        </w:rPr>
      </w:pPr>
    </w:p>
    <w:p>
      <w:pPr>
        <w:ind w:left="460"/>
        <w:spacing w:after="0"/>
        <w:tabs>
          <w:tab w:leader="none" w:pos="22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7200" w:space="720"/>
            <w:col w:w="332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vendor expenses</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related promotions and discounts</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27,158</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1"/>
        </w:trPr>
        <w:tc>
          <w:tcPr>
            <w:tcW w:w="7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primarily relate to warranty liabilities and return accruals related to the Company’s hardware tracking devices.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Liability</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escrow liability relates to restricted cash associated with the Tile, Inc. acquisition placed in an indemnity escrow fund to be held for fifteen months after the acquisition date for general representations and warranties. The initial balance was included within total consideration transferred.</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2022 the total escrow liability remaining was $13.1 million and is included within current liabilities. No escrow liability was recorded as of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p>
      <w:pPr>
        <w:sectPr>
          <w:pgSz w:w="11900" w:h="16838" w:orient="portrait"/>
          <w:cols w:equalWidth="0" w:num="1">
            <w:col w:w="11240"/>
          </w:cols>
          <w:pgMar w:left="320" w:top="225" w:right="339" w:bottom="1440" w:gutter="0" w:footer="0" w:header="0"/>
        </w:sectPr>
      </w:pPr>
    </w:p>
    <w:p>
      <w:pPr>
        <w:spacing w:after="0" w:line="25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33655</wp:posOffset>
            </wp:positionV>
            <wp:extent cx="10972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33655</wp:posOffset>
            </wp:positionV>
            <wp:extent cx="10972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9140" w:space="620"/>
            <w:col w:w="148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 liabilities</w:t>
            </w: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0"/>
        </w:trPr>
        <w:tc>
          <w:tcPr>
            <w:tcW w:w="7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Convertible Notes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unamortized amount and net carrying value of the July 2021 Convertible Notes is $1.6 million and $0.5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by which July 2021 Convertible Notes if-converted value does not exceed its principal is $(0.4) million as of September 30,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 unamortized amount and net carrying value of the July 2021 Convertible Notes is $1.9 million and $0.2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by which July 2021 Convertible Notes if-converted value exceeds its principal is $1.6 million as of December 31, 2021.</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Tranche 2), and 44,106 shares of the Company’s common stock which is exercisable starting twelve months from the issuance date with an exercise price of $11.96 per share and a term of 5 years (Warrant Tranche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warrants was determined using the Black-Scholes option-pricing method, with the following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00" w:type="dxa"/>
            <w:vAlign w:val="bottom"/>
          </w:tcPr>
          <w:p>
            <w:pPr>
              <w:spacing w:after="0"/>
              <w:rPr>
                <w:sz w:val="13"/>
                <w:szCs w:val="13"/>
                <w:color w:val="auto"/>
              </w:rPr>
            </w:pPr>
          </w:p>
        </w:tc>
        <w:tc>
          <w:tcPr>
            <w:tcW w:w="13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195"/>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Tranche 1</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Tranche 2</w:t>
            </w:r>
          </w:p>
        </w:tc>
        <w:tc>
          <w:tcPr>
            <w:tcW w:w="300" w:type="dxa"/>
            <w:vAlign w:val="bottom"/>
          </w:tcPr>
          <w:p>
            <w:pPr>
              <w:spacing w:after="0"/>
              <w:rPr>
                <w:sz w:val="16"/>
                <w:szCs w:val="16"/>
                <w:color w:val="auto"/>
              </w:rPr>
            </w:pPr>
          </w:p>
        </w:tc>
        <w:tc>
          <w:tcPr>
            <w:tcW w:w="13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Tranche 3</w:t>
            </w:r>
          </w:p>
        </w:tc>
      </w:tr>
      <w:tr>
        <w:trPr>
          <w:trHeight w:val="228"/>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47.40 %</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warrants were recorded to additional paid-in capital during the year ended December 31, 2021. The relative fair value of the warrants issued in connection with the July 2021 Convertible Notes was $0.8 million and was recorded as a debt discount that is being amortized to interest expense under the straight-line method over the term of respective convertible notes.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recognized a total of $0.1 million and $0.3 million in non-cash interest expense related to the July 2021 Convertible Notes for the three and nine months ended September 30, 2022, respectively.</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 has also issued convertible notes, September 2021 Convertible Notes, in connection with an acquisition. Refer to Note 7 “Business Combinations” for further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current and noncurrent consist of the following (in thousands):</w:t>
      </w:r>
    </w:p>
    <w:p>
      <w:pPr>
        <w:sectPr>
          <w:pgSz w:w="11900" w:h="16838" w:orient="portrait"/>
          <w:cols w:equalWidth="0" w:num="1">
            <w:col w:w="11240"/>
          </w:cols>
          <w:pgMar w:left="320" w:top="225" w:right="339" w:bottom="1440" w:gutter="0" w:footer="0" w:header="0"/>
        </w:sectPr>
      </w:pPr>
    </w:p>
    <w:p>
      <w:pPr>
        <w:spacing w:after="0" w:line="259"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33655</wp:posOffset>
            </wp:positionV>
            <wp:extent cx="11576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5"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33655</wp:posOffset>
            </wp:positionV>
            <wp:extent cx="11487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9040" w:space="700"/>
            <w:col w:w="150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current:</w:t>
            </w:r>
          </w:p>
        </w:tc>
        <w:tc>
          <w:tcPr>
            <w:tcW w:w="34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42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Revesting Notes</w:t>
            </w:r>
          </w:p>
        </w:tc>
        <w:tc>
          <w:tcPr>
            <w:tcW w:w="3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noncurrent:</w:t>
            </w:r>
          </w:p>
        </w:tc>
        <w:tc>
          <w:tcPr>
            <w:tcW w:w="3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2021 Convertible Notes</w:t>
            </w:r>
          </w:p>
        </w:tc>
        <w:tc>
          <w:tcPr>
            <w:tcW w:w="3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3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Revesting Notes</w:t>
            </w:r>
          </w:p>
        </w:tc>
        <w:tc>
          <w:tcPr>
            <w:tcW w:w="34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convertible notes</w:t>
            </w:r>
          </w:p>
        </w:tc>
        <w:tc>
          <w:tcPr>
            <w:tcW w:w="348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8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0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Derivative Liability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 (expense), net of the Company’s condensed consolidated statements of operations and comprehensive loss.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the issuance of the convertible notes, the Company recorded a derivative liability of $0.7 million at fair value using inputs classified as Level 3 in the fair value hierarchy. As of September 30, 2022, the fair value of the derivative liability was $0.2 million. Refer to Note 6 “Fair Value Measurements” for further details.</w:t>
      </w:r>
    </w:p>
    <w:p>
      <w:pPr>
        <w:spacing w:after="0" w:line="280"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certain commitments from outstanding purchase orders primarily related to technology support, facilities, marketing and branding and professional services. These agreements, which total $17.1 million as of September 30, 2022 and $11.0 million as of December 31, 2021, are cancellable at any time with the Company required to pay all costs incurred through the cancellation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would have a material adverse effect on its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12, 2019, a former alleged competitor of Tile, Cellwitch, Inc, filed a patent infringement claim against the Company in the US District Court, Northern District of California (“Court”), seeking permanent injunction and damages. On May 2, 2019, the Company filed a motion to dismiss the case. The plaintiff amended its complaint on May 16, 2019, and the Company filed a renewed motion to dismiss the amended complaint on May 30, 2019. On November 21, 2019, the Court issued an order denying Tile’s motion to dismiss the case but finding the underlying patent to be directed to an abstract idea. On December 18, 2019, Tile filed an inter partes review petition with the Patent Trial and Appeal Board (“PTAB”) challenging the validity of the patent. On May 13, 2021, the PTAB issued a Final Written Decision on Tile’s inter partes review petition (the “Final Written Decision”), which both parties appealed. The Final Written Decision was affirmed by the U.S. Court of Appeals for the Federal Circuit on May 13, 2022. The case is currently in the Court with discovery stayed while a motion for reconsideration of Tile's original motion to dismiss is pending.</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Separately, another alleged former competitor of Tile, Linquet Technologies, sued Tile in the Court for patent infringement on July 27, 2020, seeking permanent injunction and damages. On November 17, 2021, the PTAB granted Tile’s petition for inter partes review as to all claims of the Linquet patent which is currently pending. On July 18, 2022, the Court granted Tile’s motion to dismiss the underlying case in its entirety without leave to amend, after which Linquet filed a notice of appeal, which was subsequently voluntarily dismissed by Linquet.</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was authorized to issue up to 100,000,000 shares of par value $0.001 per share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 had 108,592 shares of common stock subject to the Company’s right to repurchase.</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also issued shares of common stock as a result of stock option exercises throughout its existence. Common stockholders are entitled to dividends when and if declared by the Board of Directors subject to the prior rights of the preferred stockholders. The holder of each share of common stock is entitled to one vote. The common stockholders voting as a class are entitled to elect three members to the Company’s Board of Directors. No dividends have been declared in the Company’s existence.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on an as if converted basis, for issuance as follows:</w:t>
      </w:r>
    </w:p>
    <w:p>
      <w:pPr>
        <w:sectPr>
          <w:pgSz w:w="11900" w:h="16838" w:orient="portrait"/>
          <w:cols w:equalWidth="0" w:num="1">
            <w:col w:w="11240"/>
          </w:cols>
          <w:pgMar w:left="320" w:top="225" w:right="339" w:bottom="1440" w:gutter="0" w:footer="0" w:header="0"/>
        </w:sectPr>
      </w:pPr>
    </w:p>
    <w:p>
      <w:pPr>
        <w:spacing w:after="0" w:line="259"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33655</wp:posOffset>
            </wp:positionV>
            <wp:extent cx="11487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35"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33655</wp:posOffset>
            </wp:positionV>
            <wp:extent cx="11487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3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9020" w:space="700"/>
            <w:col w:w="152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8,249,031</w:t>
            </w:r>
          </w:p>
        </w:tc>
        <w:tc>
          <w:tcPr>
            <w:tcW w:w="10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137,658</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272,001</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6,422,809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2,523,122</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516,758</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686,926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995,072</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4,071,403</w:t>
            </w:r>
          </w:p>
        </w:tc>
      </w:tr>
      <w:tr>
        <w:trPr>
          <w:trHeight w:val="223"/>
        </w:trPr>
        <w:tc>
          <w:tcPr>
            <w:tcW w:w="75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16,321,328</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14,525,828</w:t>
            </w:r>
          </w:p>
        </w:tc>
      </w:tr>
      <w:tr>
        <w:trPr>
          <w:trHeight w:val="20"/>
        </w:trPr>
        <w:tc>
          <w:tcPr>
            <w:tcW w:w="75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outstanding warrants to purchase 137,658 and 272,001 shares of Company common stock, respectively with exercise prices ranging from $0.01 to $11.96 and expiry dates ranging from 2022 to 2028. Refer to Note 9 “Convertible Notes” for further details.</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2011 Stock Plan was originally adopted by our Board of Directors on July 27, 2011 and our stockholders on October 11, 2011, and most recently amended by our Board on September 7, 2018 and our stockholders (as restated, the “Plan”). The Plan allows us to grant restricted stock units, restricted stock and stock options to employees and consultants of the Company and any of the Company’s parent, subsidiaries, or affiliates, and to the members of our Board of Directors. Options granted under the Plan may be either incentive stock options or nonqualified stock options. Incentive stock options, or ISOs, may be granted only to employees of the Company or any of the Company’s parent or subsidiaries (including officers and directors who are also employees). Nonqualified stock options, or NSOs, may be granted to any person eligible for grants under our Plan.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8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Board of Directors determines the period over which options vest and become exercisable. Options granted to new employees generally vest over a 4-year period: 25% of the shares vest on the first anniversary from the vesting commencement date of the option and an additional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shares vest on each monthly anniversary thereafter, subject to the employee’s continuous service through each vesting date. Options granted to continuing employees generally vest monthly over a 4-year period.</w:t>
      </w:r>
    </w:p>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stock option activity for the periods presented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28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108,426</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2022</w:t>
            </w: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0" w:type="dxa"/>
            <w:vAlign w:val="bottom"/>
          </w:tcPr>
          <w:p>
            <w:pPr>
              <w:spacing w:after="0" w:line="20" w:lineRule="exact"/>
              <w:rPr>
                <w:sz w:val="1"/>
                <w:szCs w:val="1"/>
                <w:color w:val="auto"/>
              </w:rPr>
            </w:pPr>
          </w:p>
        </w:tc>
      </w:tr>
      <w:tr>
        <w:trPr>
          <w:trHeight w:val="204"/>
        </w:trPr>
        <w:tc>
          <w:tcPr>
            <w:tcW w:w="4680" w:type="dxa"/>
            <w:vAlign w:val="bottom"/>
            <w:vMerge w:val="continue"/>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5,357,424</w:t>
            </w:r>
          </w:p>
        </w:tc>
        <w:tc>
          <w:tcPr>
            <w:tcW w:w="3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27,294,447 shares authorized for issuance and 995,072 shares available for issuance under the Plan. Stock options granted during the nine months ended September 30, 2022 had a weighted average grant date fair value of $8.33 per share.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intrinsic values of outstanding, vested, and exercisable options were determined by multiplying the number of shares by the difference in exercise price of the options and the fair value of the common stock as of September 30, 2022 of $9.51 per share, respectively. The intrinsic value of the options exercised represents the difference between the exercise price and the fair market value on the date of exercise.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Restricted Stock Units (RSU) activity for the periods presented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96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136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6,351,009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vested and settled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 cancelled/forfeited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(1,641,314)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6,422,809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number of RSUs vested and settled includes shares of common stock that the Company withheld on behalf of employees to satisfy the minimum statutory tax withholding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Granted to 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employee stock options granted is estimated using the Black-Scholes option-pricing model, based on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9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tcPr>
          <w:p>
            <w:pPr>
              <w:spacing w:after="0"/>
              <w:rPr>
                <w:sz w:val="17"/>
                <w:szCs w:val="17"/>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terms (in years)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0.68 %</w:t>
            </w:r>
          </w:p>
        </w:tc>
        <w:tc>
          <w:tcPr>
            <w:tcW w:w="0" w:type="dxa"/>
            <w:vAlign w:val="bottom"/>
          </w:tcPr>
          <w:p>
            <w:pPr>
              <w:spacing w:after="0"/>
              <w:rPr>
                <w:sz w:val="1"/>
                <w:szCs w:val="1"/>
                <w:color w:val="auto"/>
              </w:rPr>
            </w:pP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As the Company’s stock is traded on the public market, the fair value on the date of the grant is used.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employees is based on the simplified method, as the Company’s stock options have the following characteristics:</w:t>
      </w:r>
    </w:p>
    <w:p>
      <w:pPr>
        <w:spacing w:after="0" w:line="29" w:lineRule="exact"/>
        <w:rPr>
          <w:sz w:val="20"/>
          <w:szCs w:val="20"/>
          <w:color w:val="auto"/>
        </w:rPr>
      </w:pPr>
    </w:p>
    <w:p>
      <w:pPr>
        <w:ind w:right="100" w:firstLine="8"/>
        <w:spacing w:after="0" w:line="255"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84"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the Company has limited historical trading data regarding the volatility of its common stock, the expected volatility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of a Company of similar entities and the Company’s trading data since IPO. In evaluating similarity, the Company considered factors such as industry, stage of life cycle and size. The Company will continue to analyze the historical stock price volatility and expected term assumptions as more historical data for the Company’s common stock becomes available.</w:t>
      </w:r>
    </w:p>
    <w:p>
      <w:pPr>
        <w:spacing w:after="0" w:line="18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U.S. Treasury constant maturity rates with remaining terms similar to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options.</w:t>
      </w:r>
    </w:p>
    <w:p>
      <w:pPr>
        <w:spacing w:after="0" w:line="158"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Rate</w:t>
      </w:r>
      <w:r>
        <w:rPr>
          <w:rFonts w:ascii="Times New Roman" w:cs="Times New Roman" w:eastAsia="Times New Roman" w:hAnsi="Times New Roman"/>
          <w:sz w:val="18"/>
          <w:szCs w:val="18"/>
          <w:color w:val="auto"/>
        </w:rPr>
        <w:t>: The Company has never paid any dividends and does not plan to pay dividends in the foreseeable future, and, therefore,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rate of zero is used in the valuation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The Company accounts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Issued in Connection with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Jio, Inc.</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Jiobit transaction in September 2021, the Company issued 91,217 shares of restricted common stock with an aggregate fair value of $1.9 million to be recognized as post combination stock-based compensation ratably with continuous employment of certain employees over a 3 year period.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$0.2 million of unrecognized compensation expense related to the restricted common stock which is expected to be recognized over the remaining weighted average life of 1.9 years. As of December 31, 2021, there was $1.7 million of unrecognized compensation expense related to this restricted common stock which is expected to be recognized over the remaining weighted average life of 2.7 years.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Additionally, the Company granted 43,083 service-based stock options under the Plan to certain Jiobit employees with an aggregate fair value of $0.5 million which vests ratably over the requisite service period. As of September 30, 2022, there was $0.2 million of unrecognized compensation expense related to unvested assumed stock options, which is expected to be recognized over the remaining weighted average life of 2.1 years. As of December 31, 2021, there was $0.5 million of unrecognized compensation expense related to unvested assumed stock options, which is expected to be recognized over the remaining weighted average life of 2.0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Tile transaction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September 30, 2022, there was $6.9 million of unrecognized compensation expense related to the retention restricted stock units which is expected to be recognized over the remaining weighted average life of 1.7 years.</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also issued 38,730 vested common stock options to Tile employees as stock-based compensation on the acquisition date. The aggregate fair value of $0.4 million was recognized as compensation expense on the date of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694,672 shares of common stock with an aggregate fair value of $13.7 million were issued to Tile shareholders as part of purchase consideration.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$13.7 million was expensed on the date of acquisition.</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 total of 1,561 shares of common stock with an aggregate fair value of $30.0 thousand were issued to a key employee the vesting of which is subject to continued employment over a 30-month period. As of September 30, 2022, there was $81.1 thousand of unrecognized compensation expense related to unvested restricted stock units which is expected to be recognized over the remaining 1.8 years.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 total of 84,360 shares of common stock were issued as part of consideration transferred and were placed in an indemnity escrow fund to be held for fifteen months after the acquisition date for general representations and warranties. The aggregate fair value of $1.7 million was recognized as compensation expense on the date of the acquisition.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total unrecognized compensation cost for outstanding stock options of $10.9 million to be recognized over a period of approximately 3.0 years. As of December 31, 2021, there was total unrecognized compensation cost for outstanding stock options of $7.0 million to be recognized over a period of approximately 2.6 years.</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unrecognized compensation cost for outstanding restricted stock units of $51.9 million to be recognized over a period of approximately 2.7 years. As of December 31, 2021, there was unrecognized compensation cost for outstanding restricted stock units of $26.6 million to be recognized over a period of approximately 3.2 years.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capitalized stock-based compensation costs or recognized stock-based compensation tax benefits during the year ended December 31, 2021 or the three and nine months ended September 30, 2022.</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interim periods is determined using an estimated annual effective tax rate in accordance with ASC 740-270, Income Taxes, Interim Reporting. The effective tax rate may be subject to fluctuations during the year as new information is obtained, which may affect the assumptions used to estimate the annual effective tax rate, including factors such as valuation allowances against deferred tax assets, the recognition or de-recognition of tax benefits related to uncertain tax positions, if any, and changes in or the interpretation of tax laws in jurisdictions where the Company conducts business.</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recorded a provision (benefit) for incomes taxes of $73.0 thousand and $84.0 thousand for the three and nine months ended September 30, 2022, respectively. In accordance with ASC 805, a change in the acquirer’s valuation allowance that stems from a business combination should be recognized as an element of the acquirer’s income tax expense or benefit in the period of acquisition. Accordingly, in the three and nine months ended September 30, 2022, the Company recorded a provisional $0 and $96.0 thousand partial release of its valuation allowance and a corresponding income tax benefit stemming from the Tile acquisition, respectively. The benefit was offset by a $180.0 thousand income tax expense for state and foreign income taxes.</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recorded a provision (benefit) for incomes taxes of $(144.4) thousand for the three and nine months ended September 30, 2021, respectively. In accordance with ASC 805, a change in the acquirer’s valuation allowance that stems from a business combination should be recognized as an element of the acquirer’s income tax expense or benefit in the period of acquisition. Accordingly, in the three and nine months ended September 30, 2021, the Company recorded a provisional $211.2 thousand partial release of its valuation allowance and a corresponding income tax benefit stemming from the Jiobit acquisition, respectively. The benefit was offset by a $66.8 thousand income tax expense for state and foreign income taxes.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and is effective for taxable years beginning after December 31, 2022. The IRA includes multiple incentives to promote clean energy with tax provisions primarily focused on implementing a 15% minimum tax on global adjusted financial statement income and a 1% excise tax on share repurchases. These measures may affect our condensed consolidated financial statements and we will continue to evaluate the applicability and effect of the IRA as more guidance is issued.</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secondary financing transactions and other transactions with certain executive officers and Board members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transactions is detailed below:</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Due From Affiliates (Contra Equity)</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February 2016, the Company issued an aggregate of $0.6 million in secured partial recourse promissory notes (“partially secured loan”) to the Chief Executive Officer, Non-Executive Director (Previously President), Chief Operating Officer and another executive of the Company.</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accounted for the 2016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During the three months ended June 30, 2022, the Company received proceeds from the repayment of the partially secured loans of $0.6 million. As of September 30, 2022 and December 31, 2021, the Company had deposit liability balances of $0.3 million and $0.7 million, respectively, in connection with the 2016 partially secured loan and other early exercises of equity awards. Principal amounts due under the 2016 partially secured loan are included in Notes Due From Affiliates as a reduction in stockholders’ equity on the condensed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43"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18"/>
          <w:szCs w:val="18"/>
          <w:color w:val="auto"/>
        </w:rPr>
        <w:t>Non-executive director, James Synge, is a Principal and Partner of Carthona Capital. During the year ended December 31, 2021, the Company entered into a consultancy agreement with Carthona Capital. Under this agreement, Carthona Capital agreed to provide consultancy services to the Company in relation to capital raising matters. During the three months ended March 31, 2022, Mr. Synge received consideration of $0.1 million.</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Annika Hulls is the spouse of the CEO and Executive Director, Chris Hulls. During the three months ended March 31, 2022, a cash payment of $6.5 thousand was paid to Annika Hulls for services relating to a marketing campaign.</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Defined Contribution Plan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(Information as of September 30, 2022 and for the three and nine months ended September 30,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r>
      <w:tr>
        <w:trPr>
          <w:trHeight w:val="176"/>
        </w:trPr>
        <w:tc>
          <w:tcPr>
            <w:tcW w:w="5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50,608</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for the periods presented because including them would have been antidilutive are as follows:</w:t>
      </w:r>
    </w:p>
    <w:p>
      <w:pPr>
        <w:sectPr>
          <w:pgSz w:w="11900" w:h="16838" w:orient="portrait"/>
          <w:cols w:equalWidth="0" w:num="1">
            <w:col w:w="11240"/>
          </w:cols>
          <w:pgMar w:left="320" w:top="225" w:right="339" w:bottom="1440" w:gutter="0" w:footer="0" w:header="0"/>
        </w:sectPr>
      </w:pPr>
    </w:p>
    <w:p>
      <w:pPr>
        <w:spacing w:after="0" w:line="196"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33655</wp:posOffset>
            </wp:positionV>
            <wp:extent cx="10801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33655</wp:posOffset>
            </wp:positionV>
            <wp:extent cx="10801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9200" w:space="600"/>
            <w:col w:w="14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8,249,031</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272,001</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6,422,809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2,523,122</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516,758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686,926</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995,072</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4,071,403</w:t>
            </w:r>
          </w:p>
        </w:tc>
      </w:tr>
      <w:tr>
        <w:trPr>
          <w:trHeight w:val="223"/>
        </w:trPr>
        <w:tc>
          <w:tcPr>
            <w:tcW w:w="774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16,321,328</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14,525,828</w:t>
            </w:r>
          </w:p>
        </w:tc>
      </w:tr>
      <w:tr>
        <w:trPr>
          <w:trHeight w:val="21"/>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(MD&amp;A) is provided in addition to the accompanying condensed consolidated financial statements and accompanying notes to assist readers in understanding our results of operations, financial condition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Life360 is a leading technology platform, according to market share of the family safety and location sharing app market based on revenue, to locate the people, pets and things that matter most to families. Life360 is creating a new category at the intersection of family, technology, and safety to help keep families connected and safe. We provide safety services delivered through a mobile-native, subscription-based offering built around location-sharing, mobility, driving, and coordination. In 2021, we estimated 1 in 10 families in the United States used the Life360 Platform and, on average, our U.S. active users and members who have enabled push notifications used the service over 15 times a day to coordinate and communicate. We also provide coverage for the “what ifs” that families worry about most, ranging from driving safety, personal SOS, identity theft protection and more. Nothing is more important than family, and we help provide peace of mind in life’s unpredictable moments for families around the world.</w:t>
      </w:r>
    </w:p>
    <w:p>
      <w:pPr>
        <w:spacing w:after="0" w:line="18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 Our core competencies in engineering, data analytics, product design, personalization and assessment are applicable not only to location sharing but also other adjacent verticals and use cases. Life360 has a unique opportunity to further entrench its service by expanding offerings across our core and complementary verticals, such as location sharing, item tracking, crash and roadside assistance, identity theft protection, pet and children location sharing devices, and many more.</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September 30, 2022 and 2021, Life360 generated:</w:t>
      </w:r>
    </w:p>
    <w:p>
      <w:pPr>
        <w:spacing w:after="0" w:line="117"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$57.2 million and $29.7 million, respectively, representing year-over-year growth of 92%;</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 of $39.0 million and $23.1 million, respectively, representing year-over-year growth of 69%;</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revenues of $11.7 million and $0 million, respectively, representing year-over-year growth of 100%;</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of $6.5 million and $6.5 million, respectively, representing consistent revenues year-over-year;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$39.2 million and $24.3 million, respectively, representing year-over-year growth of 61%;</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$21.1 million and $8.0 million, respectively; and</w:t>
      </w:r>
    </w:p>
    <w:p>
      <w:pPr>
        <w:spacing w:after="0" w:line="117"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$9.4 million and $3.7 million, respectively. For a reconciliation of Adjusted EBITDA to net loss, the most directly comparable GAAP measure, see “Non-GAAP Financial Measures.”</w:t>
      </w: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the nine months ended September 30, 2022 and 2021, Life360 generated:</w:t>
      </w:r>
    </w:p>
    <w:p>
      <w:pPr>
        <w:spacing w:after="0" w:line="117"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$157.0 million and $77.7 million, respectively, representing year-over-year growth of 102%;</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 of $107.9 million and $59.5 million, respectively, representing year-over-year growth of 81%;</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revenues of $28.3 million and $0 million, respectively, representing year-over-year growth of 100%;</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of $20.8 million and $18.2 million, respectively, representing year-over-year growth of 14%;</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$103.6 million and $63.1 million, respectively, representing year-over-year growth of 64%;</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$79.3 million and $18.7 million, respectively; and</w:t>
      </w:r>
    </w:p>
    <w:p>
      <w:pPr>
        <w:spacing w:after="0" w:line="117"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$41.7 million and $8.5 million, respectively. For a reconciliation of Adjusted EBITDA to net loss, the most directly comparable GAAP measure, see “Non-GAAP Financial Measures.”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COVID-19 pandemic had an initial impact on our operations and financial performance, as we saw decreased engagement and member growth in the early phase of the pandemic. To adapt to the COVID-19 impact, the Company paused the majority of paid user acquisition spend and implemented other expense management initiatives. Once past the immediate early phase of COVID-19, we saw a resumption of rapid growth and we experienced two successive quarters of record Paying Circle additions in the second half of 2021. The extent of the impact of the COVID-19 pandemic on our operational and financial performance going forward will depend on future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and other business partners, all of which are uncertain and cannot be predicted. Any such developments may have adverse impacts on global economic conditions, including disruptions of the supply chain globally, labor shortages and consumer confidence and spending, and could materially adversely affect demand, or subscribers’ ability to pay, for our products and services. We considered the impact of COVID-19 on the assumptions and estimates used and determined there were no material adverse impacts on our condensed consolidated financial statements for the nine months ended September 30, 2022. As events related to COVID-19 continue to evolve, our assumptions and estimates may change materially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Russian Invasion of Ukraine</w:t>
      </w:r>
    </w:p>
    <w:p>
      <w:pPr>
        <w:spacing w:after="0" w:line="121"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credit and financial markets have experienced extreme volatility and disruptions due to the current conflict between Ukraine and Russia. The conflict is expected to have further global economic consequences, including but not limited to the possibility of severely diminished liquidity and credit availability, declines in consumer confidence, declines in economic growth, increases in inflation rates and uncertainty about economic and political stability. In addition, the United States and other countries have imposed sanctions on Russia which increases the risk that Russia, as a retaliatory action, may launch cyberattacks against the United States, its government, infrastructure and businesses. Consequences of the conflict, including the aforementioned and those we cannot yet predict, may cause our business, financial condition, results of operations and the price of our shares of common stock to be adversely affected. We considered the impact of the Russian invasion of Ukraine on the assumptions and estimates used and determined there were no material adverse impacts on our condensed consolidated financial statements for the nine months ended September 30, 2022. As events related to the Russian invasion of Ukraine continue to evolve, our assumptions and estimates may change materially in future periods.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As we focus on growing our customers and revenue, and achieving profitability while investing for the future and managing risk, expenses and capital, the following factors and others identified in the section of this Quarterly Report on Form 10-Q titled “Risk Factors” have been important to our business and we expect them to impact our operations in future periods:</w:t>
      </w:r>
    </w:p>
    <w:p>
      <w:pPr>
        <w:spacing w:after="0" w:line="17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Ability to Retain Trusted Brand</w:t>
      </w:r>
      <w:r>
        <w:rPr>
          <w:rFonts w:ascii="Times New Roman" w:cs="Times New Roman" w:eastAsia="Times New Roman" w:hAnsi="Times New Roman"/>
          <w:sz w:val="18"/>
          <w:szCs w:val="18"/>
          <w:color w:val="auto"/>
        </w:rPr>
        <w:t>. We strongly believe in our vision to become the indispensable safety membership for families, with a suite of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span every life stage of the family. Our business model and future success are dependent on the value and reputation of the Life360, Jiobit and Tile brands. Our brand is trusted by approximately 47 million members as of September 30, 2022, and because we know the value of trust is immeasurable, we will continue to work tirelessly to ensure that we provide useful, reliable, trustworthy and innovative products and services.</w:t>
      </w:r>
    </w:p>
    <w:p>
      <w:pPr>
        <w:spacing w:after="0" w:line="180"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Attract, Retain and Convert Members</w:t>
      </w:r>
      <w:r>
        <w:rPr>
          <w:rFonts w:ascii="Times New Roman" w:cs="Times New Roman" w:eastAsia="Times New Roman" w:hAnsi="Times New Roman"/>
          <w:sz w:val="18"/>
          <w:szCs w:val="18"/>
          <w:color w:val="auto"/>
        </w:rPr>
        <w:t>. Our business model is based on attracting new members to our platform, converting free members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and retaining and expanding subscriptions over time. Our continued success depends in part on our ability to offer compelling new products and features to our members, and to continue providing a quality user experience to retain paying subscribers. We will also seek to increase brand awareness and customer adoption of our platform through various programs and digital and broad-scale advertising.</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Maintaining Efficient Member Acquisition</w:t>
      </w:r>
      <w:r>
        <w:rPr>
          <w:rFonts w:ascii="Times New Roman" w:cs="Times New Roman" w:eastAsia="Times New Roman" w:hAnsi="Times New Roman"/>
          <w:sz w:val="18"/>
          <w:szCs w:val="18"/>
          <w:color w:val="auto"/>
        </w:rPr>
        <w:t>. Our investment in developing effective services and devices creates an efficient member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which drives strong unit economics. The organic member acquisition is complemented with our word-of-mouth and freemium model.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Growth in Average Revenue Per Paying Circle (“ARPPC”)</w:t>
      </w:r>
      <w:r>
        <w:rPr>
          <w:rFonts w:ascii="Times New Roman" w:cs="Times New Roman" w:eastAsia="Times New Roman" w:hAnsi="Times New Roman"/>
          <w:sz w:val="18"/>
          <w:szCs w:val="18"/>
          <w:color w:val="auto"/>
        </w:rPr>
        <w:t>. Our business model is dependent upon our ability to grow and maintain a large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including growing the number of Paying Circles. We have a sophisticated understanding of our members, and as a result, the services we provide are core to families and hard to switch out of. We continue to develop new monetization features leveraging our core technologies to offer additional services, expand into more stages of families and enter new verticals to increase adoption. Many factors will affect the ARPPC including the number of Paying Circles, mix of monetization offerings on our platform, as well as demographic shifts and geographic differences across these variables.</w:t>
      </w:r>
    </w:p>
    <w:p>
      <w:pPr>
        <w:spacing w:after="0" w:line="18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Expanding the Offerings on Our Platform</w:t>
      </w:r>
      <w:r>
        <w:rPr>
          <w:rFonts w:ascii="Times New Roman" w:cs="Times New Roman" w:eastAsia="Times New Roman" w:hAnsi="Times New Roman"/>
          <w:sz w:val="18"/>
          <w:szCs w:val="18"/>
          <w:color w:val="auto"/>
        </w:rPr>
        <w:t>. We are continually evaluating new product offerings that are aligned with our core competencies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of families across the life stage continuum. For example, our acquisition of Tile gives our members the ability to seamlessly leverage Bluetooth-enabled smart trackers, which can equip nearly any item—such as wallets, keys or remotes—with location-based finding technology. Likewise, our acquisition of Jiobit will allow our subscribers to track family members and pets wearing Jiobit devices via a single unified family map. We will continue to invest in and launch products where we see opportunities to grow our platform.</w:t>
      </w:r>
    </w:p>
    <w:p>
      <w:pPr>
        <w:spacing w:after="0" w:line="1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Attracting and Retaining Talent</w:t>
      </w:r>
      <w:r>
        <w:rPr>
          <w:rFonts w:ascii="Times New Roman" w:cs="Times New Roman" w:eastAsia="Times New Roman" w:hAnsi="Times New Roman"/>
          <w:sz w:val="18"/>
          <w:szCs w:val="18"/>
          <w:color w:val="auto"/>
        </w:rPr>
        <w:t>. We compete for talent in the technology industry. Our business relies on the ability to attract and retain talent,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engineers, data scientists, designers and software developers. As of September 30, 2022, we had approximately 600 employees and contractors.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core values are aimed at simplifying safety for families and we believe there are people who want to work at a values-driven company like Life360.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recruit talent is aided by our reputation.</w:t>
      </w:r>
    </w:p>
    <w:p>
      <w:pPr>
        <w:spacing w:after="0" w:line="20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Seasonality</w:t>
      </w:r>
      <w:r>
        <w:rPr>
          <w:rFonts w:ascii="Times New Roman" w:cs="Times New Roman" w:eastAsia="Times New Roman" w:hAnsi="Times New Roman"/>
          <w:sz w:val="18"/>
          <w:szCs w:val="18"/>
          <w:color w:val="auto"/>
        </w:rPr>
        <w:t>. We experience seasonality in our user growth, engagement, Paying Circles growth and monetization on our platform. Life360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experienced member and subscription growth seasonality in the third quarter of each calendar year, which includes the return to school for many of our members. Hardware sales have historically experienced revenue seasonality in the fourth quarter of each calendar year, which includes the important selling periods in November (Black Friday and Cyber Monday) and December (Christmas and Hanukkah) in large part due to seasonal holiday demand. As the majority of revenue is generated within the United States, our seasonality primarily relates to U.S. events.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18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Continued Investment in Growth</w:t>
      </w:r>
      <w:r>
        <w:rPr>
          <w:rFonts w:ascii="Times New Roman" w:cs="Times New Roman" w:eastAsia="Times New Roman" w:hAnsi="Times New Roman"/>
          <w:sz w:val="18"/>
          <w:szCs w:val="18"/>
          <w:color w:val="auto"/>
        </w:rPr>
        <w:t>. We expect expenses to increase as we intend to continue to make focused investments to increase revenue and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to support the growth of our business. We plan to further invest in research and development as we hire employees in engineering, product, and design to enhance our platform and support the needs of our growing member base. We also plan to invest in sales and marketing activities to drive our subscriptions and increase our brand awareness. We expect to incur additional general and administrative expenses to support our growth and our transition to being a U.S. reporting company. Further, we continue to make investments in our technical infrastructure to support user and employee growth which will 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8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Our international active member base of 17.7 million increased 52% for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September 30, 2021. We believe our global opportunity is significant, and to address this opportunity, we intend to continue to invest in sales and marketing efforts and infrastructure and personnel to support our international expansion, including undertaking initiatives such as the first international launch of our subscription offering in Canada during the three months ended December 31, 2021. Our growth will depend in part on the adoption and sales of our products and services in international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review several operating metrics, including the following key performance indicators, to evaluate our business, measure our performance, identify trends affecting our business, formulate financial projections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Selling Price (“ASP”), however percentage changes are calculated based on actual results. As a result, percentage changes may not recalculate based on figures presented due to rounding.</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80" w:type="dxa"/>
            <w:vAlign w:val="bottom"/>
            <w:gridSpan w:val="2"/>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AMR*</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184.0</w:t>
            </w:r>
          </w:p>
        </w:tc>
        <w:tc>
          <w:tcPr>
            <w:tcW w:w="136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Paying Circles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ARPPC</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91.84</w:t>
            </w:r>
          </w:p>
        </w:tc>
        <w:tc>
          <w:tcPr>
            <w:tcW w:w="1360" w:type="dxa"/>
            <w:vAlign w:val="bottom"/>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ARPPS*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77.00</w:t>
            </w:r>
          </w:p>
        </w:tc>
        <w:tc>
          <w:tcPr>
            <w:tcW w:w="1360" w:type="dxa"/>
            <w:vAlign w:val="bottom"/>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1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ASP*</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15.63</w:t>
            </w:r>
          </w:p>
        </w:tc>
        <w:tc>
          <w:tcPr>
            <w:tcW w:w="1360" w:type="dxa"/>
            <w:vAlign w:val="bottom"/>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0" w:right="320"/>
        <w:spacing w:after="0" w:line="237" w:lineRule="auto"/>
        <w:rPr>
          <w:sz w:val="20"/>
          <w:szCs w:val="20"/>
          <w:color w:val="auto"/>
        </w:rPr>
      </w:pPr>
      <w:r>
        <w:rPr>
          <w:rFonts w:ascii="Times New Roman" w:cs="Times New Roman" w:eastAsia="Times New Roman" w:hAnsi="Times New Roman"/>
          <w:sz w:val="18"/>
          <w:szCs w:val="18"/>
          <w:color w:val="auto"/>
        </w:rPr>
        <w:t>*Metrics presented for the period ended September 30, 2021 are pro forma and include pre-acquisition data related to periods before the acquisitions of Jiobit, Inc. on September 1, 2021 and Tile, Inc. on January 5, 2022.</w:t>
      </w: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Annualized Monthly Revenue</w:t>
      </w:r>
    </w:p>
    <w:p>
      <w:pPr>
        <w:spacing w:after="0" w:line="119"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AMR as of September 30, 2022 and 2021 was $184.0 million and $120.6 million, respectively.</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Members</w:t>
      </w:r>
    </w:p>
    <w:p>
      <w:pPr>
        <w:spacing w:after="0" w:line="11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 have a large and growing member base located in over 150 countries as of September 30, 2022, comprised primarily of safety-conscious families who have a high propensity to pay for premium offerings. A Life360 monthly active user (“MAU”) is defined as a unique user who engages with our Life360 branded services each month, which includes both paying and non-paying members. As of September 30, 2022 and 2021, we had approximately 47 million and approximately 34 million MAUs on the Life360 Platform, respectively, representing a year-over-year increase of 39% and a compounded annual growth rate (“CAGR”) of 21% from September 2019 to September 2022. This has been driven by continued strong organic member growth and the introduction of paid member acquisition.</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Paying Circles</w:t>
      </w:r>
    </w:p>
    <w:p>
      <w:pPr>
        <w:spacing w:after="0" w:line="11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Each subscription covers all members in the payor’s Circle so that everyone in the Circle can utilize the benefits of a Life360 Premium Membership, including access to premium location, driving, digital and emergency safety insights and services.</w:t>
      </w:r>
    </w:p>
    <w:p>
      <w:pPr>
        <w:spacing w:after="0" w:line="162"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2022 and 2021, we had approximately 1.52 million and 1.12 million paid subscribers to services under our Life360 brand, respectively, representing an increase of 36% year-over-year and a CAGR of 25% from September 2019 to September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05"/>
        <w:spacing w:after="0" w:line="289" w:lineRule="auto"/>
        <w:rPr>
          <w:sz w:val="20"/>
          <w:szCs w:val="20"/>
          <w:color w:val="auto"/>
        </w:rPr>
      </w:pPr>
      <w:r>
        <w:rPr>
          <w:rFonts w:ascii="Times New Roman" w:cs="Times New Roman" w:eastAsia="Times New Roman" w:hAnsi="Times New Roman"/>
          <w:sz w:val="17"/>
          <w:szCs w:val="17"/>
          <w:color w:val="auto"/>
        </w:rPr>
        <w:t>We grow the number of Paying Circles by growing our free member base, converting a greater number of members to subscribers, and retaining them over time with the provision of high-quality family and safety services. We have experienced strong recent growth in the number of paying subscribers, benefiting from a full year of the new family membership offering which was launched during the third quarter of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657850" cy="1979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Retention by Member Cohorts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Due to the essential service provided by the Life360 Platform, we retain over 50% of U.S. organic members after three months, on average.</w:t>
      </w:r>
    </w:p>
    <w:p>
      <w:pPr>
        <w:spacing w:after="0" w:line="22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Following an expected initial churn of members post-download, the remaining member cohorts illustrate high retention with the churn rate significantly decreasing and largely stabilizing after six months. Ultimately, the strong retention of our member cohorts presents a constant opportunity to monetize and generate revenue growth from existing and new members, with approximately 30% of U.S. organic members remaining on the platform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657850" cy="1911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New Paying Circles are primarily sourced from the conversion of existing free members, which typically occurs when they are seeking greater utility or features from the Life360 Platform, beyond our free offering. This characteristic of Life360 member behavior highlights how members are “pulled” rather than “pushed” towards the Life360 Paying Circle. Net growth in Paying Circles is also affected by our ability to retain existing Paying Circles. We have maintained high retention over time while also increasing our conversion rates as a result of new features and functionality, a theme we believe will only strengthen over time as the Life360 Service expands its product suite for Paying Circles. Our paid conversion reflects subscribers converting to paid subscriptions within the first month following their initial registration with the Life360 Platform. The decline in conversion to 1.9% during the three months ended September 30, 2022 is largely driven by the increase in subscription prices for new subscribers.</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5657850" cy="18599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Average Revenue per Paying Circle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define ARPPC as Life360 subscription revenue for the period presented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spacing w:after="0" w:line="176"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As a result of an increase in Paying Circles combined with an increased mix of sales towards higher-priced subscription plans, we experienced a 7% increase in our ARPPC for the three months ended September 30, 2022 compared to the three months ended September 30, 2021.</w:t>
      </w:r>
    </w:p>
    <w:p>
      <w:pPr>
        <w:spacing w:after="0" w:line="1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ARPPC is a key indicator utilized by Life360 to determine the effective penetration of our tiered product offering for Paying Circles. The implementation of various tiers of paying account offerings (i.e., Silver, Gold and Platinum in 2020) and the increase in pricing for new Paying Circles in August 2022 has led to subscribers signing up for higher price products over time, increasing ARPPC. We believe these dynamics illustrate the potential upside in our key strategic focus of expanding the offering to international Paying Circles.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657850" cy="21513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Subscriptions as the number of paying subscribers as of the end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Average Revenue per Paying Subscription</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define ARPPS as total subscription revenue for the period presented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ARPPS for the three months ended September 30, 2022 and 2021 was $77.00 and $71.65, respectively, representing an increase of $5.35, or 7%.</w:t>
      </w:r>
    </w:p>
    <w:p>
      <w:pPr>
        <w:spacing w:after="0" w:line="207" w:lineRule="exact"/>
        <w:rPr>
          <w:sz w:val="20"/>
          <w:szCs w:val="20"/>
          <w:color w:val="auto"/>
        </w:rPr>
      </w:pPr>
    </w:p>
    <w:p>
      <w:pPr>
        <w:ind w:right="900" w:firstLine="405"/>
        <w:spacing w:after="0" w:line="282" w:lineRule="auto"/>
        <w:rPr>
          <w:sz w:val="20"/>
          <w:szCs w:val="20"/>
          <w:color w:val="auto"/>
        </w:rPr>
      </w:pPr>
      <w:r>
        <w:rPr>
          <w:rFonts w:ascii="Times New Roman" w:cs="Times New Roman" w:eastAsia="Times New Roman" w:hAnsi="Times New Roman"/>
          <w:sz w:val="18"/>
          <w:szCs w:val="18"/>
          <w:color w:val="auto"/>
        </w:rPr>
        <w:t>ARPPS has increased year over year as a result of the percentage of subscribers who select higher priced subscriptions, including Life360 membership tiers, has increased over time.</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Hardware Units Shipped</w:t>
      </w:r>
    </w:p>
    <w:p>
      <w:pPr>
        <w:spacing w:after="0" w:line="119"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Net hardware units shipped represents the number of tracking devices sold during a period, net of returns by our retail partners and directly to consumers. Selling units contributes to hardware revenue and ultimately increases the number of users eligible for a Tile or Jiobit subscription. We can increase the number of units sold through marketing and promotional activities. For the three months ended September 30, 2022, Life360 sold approximately 0.7 million units, down approximately 27% as compared to the 1.0 million units sold during the three months ended September 30, 2021, reflecting the backdrop of weaker consumer electronics category demand.</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Average Sales Price</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To determine the net ASP of a unit, we divide hardware revenue by the number of net hardware units shipped (“ASP”). ASP is largely driven by the price we charge customers, including the price we charge our retail partners and directly to consumers. For the three months ended September 30, 2022, the net ASP of a unit was $15.63, an increase of 15% compared to the three months ended September 30, 2021 reflecting an improved product mix.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collect and analyze operating and financial data to evaluate the health of our business, allocate our resources and assess our performance.</w:t>
      </w:r>
    </w:p>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addition to total revenue, Net Loss and other results under GAAP, we utilize non-GAAP calculations of earnings before interest, taxes, depreciation and amortization (“EBITDA”) and adjusted earnings before interest, taxes, depreciation and amortization (“Adjusted EBITDA”). EBITDA is defined as Net Loss, excluding (i) convertible notes and derivative liability fair value adjustments, (ii) provision (benefit) for income taxes, (iii) depreciation and amortization and (iv) other income (expense). Adjusted EBITDA is defined as Net Loss, excluding (i) convertible notes and derivative liability fair value adjustments, (ii) provision (benefit) for income taxes, (iii) depreciation and amortization, (iv) other income (expense), (v) stock-based compensation, (vi) costs related to filing our Registration Statement on Form 10 filed with the Securities and Exchange Commission on April 26, 2022, as amended by Amendment No. 1 filed on June 13, 2022 and Amendment No. 2 filed on July 5, 2022, and effective as of June 27, 2022 (“Form 10”), (vii) acquisition and integration costs, and (viii) gain on revaluation of contingent consideration.</w:t>
      </w:r>
    </w:p>
    <w:p>
      <w:pPr>
        <w:spacing w:after="0" w:line="19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above items are excluded from EBITDA and Adjusted EBITDA because these items are non-cash in nature, or because the amount and timing of these items are unpredictable, are not driven by core results of operations and render comparisons with prior periods and competitors less meaningful. We believe EBITDA and Adjusted EBITDA provide useful information to investors and others in understanding and evaluating our results of operations, as well as providing useful measures for period-to-period comparisons of our business performance. Moreover, we have included EBITDA and Adjusted EBITDA in this Quarterly Report on Form 10-Q because they are key measurements used by our management team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these non-GAAP financial measures in addition to other financial performance measures presented in accordance with GAAP, including various cash flow metrics, Net Loss and our other GAAP results.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presents a reconciliation of Net Loss, the most directly comparable GAAP measure, to EBITDA and Adjusted EBITDA.</w:t>
      </w:r>
    </w:p>
    <w:p>
      <w:pPr>
        <w:sectPr>
          <w:pgSz w:w="11900" w:h="16838" w:orient="portrait"/>
          <w:cols w:equalWidth="0" w:num="1">
            <w:col w:w="11240"/>
          </w:cols>
          <w:pgMar w:left="320" w:top="225" w:right="339" w:bottom="1440" w:gutter="0" w:footer="0" w:header="0"/>
        </w:sectPr>
      </w:pPr>
    </w:p>
    <w:p>
      <w:pPr>
        <w:spacing w:after="0" w:line="271"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33655</wp:posOffset>
            </wp:positionV>
            <wp:extent cx="20656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ind w:left="5280"/>
        <w:spacing w:after="0"/>
        <w:tabs>
          <w:tab w:leader="none" w:pos="69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33655</wp:posOffset>
            </wp:positionV>
            <wp:extent cx="20656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7820" w:space="720"/>
            <w:col w:w="270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 liability fair value adjustment </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(2)</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7,963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3,260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24,487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10 related costs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1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change in value of the derivative liability associated with the July 2021 Convertible Notes (defined below).</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on fixed assets and amortization of acquired intangible assets.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Condensed Consolidated Statements of Operations and Comprehensive Loss (unaudited).</w:t>
      </w:r>
    </w:p>
    <w:p>
      <w:pPr>
        <w:spacing w:after="0" w:line="225"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currently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In the future, the Company plans to integrate Life360, Tile and Jiobit into one platform.</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Subscription Revenue</w:t>
      </w:r>
    </w:p>
    <w:p>
      <w:pPr>
        <w:spacing w:after="0" w:line="11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generate revenue from sales of subscriptions on our platforms.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Hardware Revenue</w:t>
      </w:r>
    </w:p>
    <w:p>
      <w:pPr>
        <w:spacing w:after="0" w:line="119"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We generate a majority of our hardware revenue from the sale of the Tile and Jiobit hardware tracking devices and related accessories. For hardware and accessories, revenue is recognized at the time products are delivered. We sell hardware tracking devices and accessories through a number of channels including our website, brick and mortar retail and online retail.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Other Revenue</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Life360 began to exit the traditional data sales business and transition to solely sales of aggregated data insights. In order to accomplish this, we executed a new partnership agreement with Placer, a prominent provider of aggregated analytics for the retail ecosystem. As part of this partnership, Placer will provide valuable data processing and analytics data to Life360 and will have the right to commercialize aggregated data related to place visits during the term of the agreement, while still providing members the option to opt out of even aggregated data sales.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 The Placer agreement includes fixed monthly revenue amounts for access to aggregated data for the duration of the three-year agreement. Other revenue also includes partnership revenue.</w:t>
      </w:r>
    </w:p>
    <w:p>
      <w:pPr>
        <w:spacing w:after="0" w:line="2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Subscription</w:t>
      </w:r>
    </w:p>
    <w:p>
      <w:pPr>
        <w:spacing w:after="0" w:line="119"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Cost of subscription primarily consists of expenses related to hosting our services and providing support. These expenses include employee-related costs associated with our cloud-based infrastructure and our customer support organization, third-party hosting fees, software, and maintenance costs, outside services associated with the delivery of our subscription services, personnel-related expenses,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8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Hardware Revenue</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Other Revenue</w:t>
      </w:r>
    </w:p>
    <w:p>
      <w:pPr>
        <w:spacing w:after="0" w:line="11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Cost of other revenue includes cloud-based hosting costs, as well as costs of product operations functions and employee-related costs associated with our data platform. Personnel-related expenses include salaries, bonuses, benefits, and stock-based compensation for operations personnel.</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Gross Profit and Gross Profit Margin</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gross profit has been, and may in the future be, influenced by several factors, including geographical revenue mix,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selling and marketing,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1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employee-related costs for our engineering, product, and design teams, material costs of building and developing prototypes for new products, mobile app development and allocated overhead. We believe that continued investment in our platform is important for our growth. We expect our research and development expenses will increase in absolute dollars as our business grows.</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11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consist primarily of employee-related costs, brand marketing costs, lead generation costs, sales incentives, trade shows and events,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spacing w:after="0" w:line="180"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11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 issued convertible notes to investors in July 2021, and as part of the purchase consideration related to the Jiobit Acquisition in September 2021 (the “September 2021 Convertible Notes” and together with the July 2021 Convertible Notes, the “Convertible Notes”). The September 2021 Convertible Notes are recorded at fair value and are revalued at each reporting period.</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Derivative Liability Fair Value Adjustment</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Derivative liability fair value adjustment relates to the change in the fair value of the embedded conversion and redemption features associated with the July 2021 Convertible Notes.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119"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Provision (benefit) for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The following tables set forth our condensed consolidated statement of operations and comprehensive loss for the three and nine months ended September 30, 2022 and 2021. We have derived this data from our condensed consolidated financial statements included elsewhere in this Quarterly Report on Form 10-Q. This information should be read in conjunction with our condensed consolidated financial statements and related notes included elsewhere in this Quarterly Report on Form 10-Q. The results of historical periods are not necessarily indicative of the results of operations for any future period.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30,626 %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74,411 %</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11,274 %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33,932 %</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0"/>
        </w:trPr>
        <w:tc>
          <w:tcPr>
            <w:tcW w:w="3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81,468</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Convertible notes fair value</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6"/>
        </w:trPr>
        <w:tc>
          <w:tcPr>
            <w:tcW w:w="30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Derivative liability fair value</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22,650 %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foreign currency translation</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2860" w:type="dxa"/>
            <w:vAlign w:val="bottom"/>
            <w:gridSpan w:val="5"/>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156"/>
        </w:trPr>
        <w:tc>
          <w:tcPr>
            <w:tcW w:w="2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stock-based compensation</w:t>
            </w:r>
          </w:p>
        </w:tc>
        <w:tc>
          <w:tcPr>
            <w:tcW w:w="860" w:type="dxa"/>
            <w:vAlign w:val="bottom"/>
            <w:vMerge w:val="restart"/>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0" w:type="dxa"/>
            <w:vAlign w:val="bottom"/>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7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865"/>
        </w:trPr>
        <w:tc>
          <w:tcPr>
            <w:tcW w:w="576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nine months ended September 30, 2022 and 2021.</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2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17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6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4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38,991</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30,626 %</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Total revenue increased $27.5 million, or 92%, during the three months ended September 30, 2022 as compared to the three months ended September 30, 2021.</w:t>
      </w:r>
    </w:p>
    <w:p>
      <w:pPr>
        <w:spacing w:after="0" w:line="16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Subscription revenue increased $15.9 million, or 69%, during the three months ended September 30, 2022 as compared to the three months ended September 30, 2021 primarily due to growth in Paying Circles and ARPPC as we continue to invest in a variety of customer programs and initiatives, which, along with expanded customer use cases, have helped increase our subscription revenue over time. In addition, the increase was also attributable to the inclusion of Tile and Jiobit subscription services of $5.3 million.</w:t>
      </w:r>
    </w:p>
    <w:p>
      <w:pPr>
        <w:spacing w:after="0" w:line="20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Hardware revenue increased $11.6 million, or 30,626%, during the three months ended September 30, 2022 as compared to the three months ended September 30, 2021 due to the inclusion of hardware sales related to Tile and Jiobit hardware devices.</w:t>
      </w:r>
    </w:p>
    <w:p>
      <w:pPr>
        <w:spacing w:after="0" w:line="16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Other revenue decreased $0.1 million, or 1%, during the three months ended September 30, 2022 as compared to the three months ended September 30, 2021, due to the Company’s move to a single data arrangement.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20" w:type="dxa"/>
            <w:vAlign w:val="bottom"/>
          </w:tcPr>
          <w:p>
            <w:pPr>
              <w:spacing w:after="0"/>
              <w:rPr>
                <w:sz w:val="16"/>
                <w:szCs w:val="16"/>
                <w:color w:val="auto"/>
              </w:rPr>
            </w:pPr>
          </w:p>
        </w:tc>
        <w:tc>
          <w:tcPr>
            <w:tcW w:w="17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4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74,411 %</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Total revenue increased $79.3 million, or 102%, during the nine months ended September 30, 2022 as compared to the nine months ended September 30, 2021.</w:t>
      </w:r>
    </w:p>
    <w:p>
      <w:pPr>
        <w:spacing w:after="0" w:line="16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Subscription revenue increased $48.4 million, or 81%, during the nine months ended September 30, 2022 as compared to the nine months ended September 30, 2021 primarily due to growth in Paying Circles and ARPPC as we continue to invest in a variety of customer programs and initiatives, which, along with expanded customer use cases, have helped increase our subscription revenue over time. In addition, the increase was also attributable to the inclusion of Tile and Jiobit subscription services of $15.9 million.</w:t>
      </w:r>
    </w:p>
    <w:p>
      <w:pPr>
        <w:spacing w:after="0" w:line="20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Hardware revenue increased $28.3 million, or 74,411%, during the nine months ended September 30, 2022 as compared to the nine months ended September 30, 2021 due to the inclusion of hardware sales related to Tile and Jiobit hardware devices.</w:t>
      </w:r>
    </w:p>
    <w:p>
      <w:pPr>
        <w:spacing w:after="0" w:line="16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Other revenue increased $2.6 million, or 14%, during the nine months ended September 30, 2022 as compared to the nine months ended September 30, 2021, primarily due to the Company’s move to a single data arrangement and transition period term overlap with legacy agreements.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Gross Profit, and Gross Margin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4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11,274 %</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17,913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39,240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24,309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4"/>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8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Cost of subscription revenue increased by $3.4 million, or 78%, during the three months ended September 30, 2022 as compared to the three months ended September 30, 2021, primarily due to $1.2 million in technology expenses due to the inclusion of costs related to cloud infrastructure associated with the Tile and Jiobit subscription offerings, an increase of $1.3 million in membership offerings due to an increase in direct costs related to product offerings, an increase of $0.2 million due to an increase in professional and consulting fees, and an increase of $0.2 million related to depreciation and amortization associated with the Tile and Jiobit acquisitions. The remaining increase of $0.5 million is attributable to other technology related expenses associated with Company growth.</w:t>
      </w:r>
    </w:p>
    <w:p>
      <w:pPr>
        <w:spacing w:after="0" w:line="187"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Subscription margin decreased slightly to 80% during the three months ended September 30, 2022 from 81% during the three months ended September 30, 2021, primarily due to increased technology amortization costs related to the Tile and Jiobit acquisitions.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Cost of hardware revenue increased by $9.2 million, or 11,274%, during the three months ended September 30, 2022 as compared to the three months ended September 30, 2021, primarily due to the inclusion of hardware costs of approximately $6.5 million related to Tile and Jiobit hardware costs, an additional $0.4 million in technology expenses, an additional $0.9 million related to depreciation and amortization associated with the Tile and Jiobit acquisitions, and $1.1 million in additional personnel-related costs and stock-based compensation due to increased headcount. The remaining increase of $0.3 million is attributable to other expenses associated with Company growth.</w:t>
      </w:r>
    </w:p>
    <w:p>
      <w:pPr>
        <w:spacing w:after="0" w:line="183"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Hardware margin increased to 20% during the three months ended September 30, 2022 as compared to the three months ended September 30, 2021 and was negatively impacted by the inclusion of the amortization expense recognized on acquired technology related to intangible assets as well as the inclusion of additional personnel-related costs and stock-based compensation due to increased headcount.</w:t>
      </w:r>
    </w:p>
    <w:p>
      <w:pPr>
        <w:spacing w:after="0" w:line="17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Other cost of revenue decreased by $0.1 million, or 12%, during the three months ended September 30, 2022 as compared to the three months ended September 30, 2021, due to a decrease of $0.1 million in technology expenses related to cloud infrastructure optimization.</w:t>
      </w:r>
    </w:p>
    <w:p>
      <w:pPr>
        <w:spacing w:after="0" w:line="16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Other margin increased to 87% during the three months ended September 30, 2022 from 86% during the three months ended September 30, 2021, primarily due to cloud infrastructure optimization.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4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4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costs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22,742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11,894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costs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27,906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33,932 %</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53,321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103,646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63,061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4"/>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8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Cost of subscription revenue increased by $10.8 million, or 91%, during the nine months ended September 30, 2022 as compared to the nine months ended September 30, 2021, primarily due to $5.3 million in technology expenses due to the inclusion of costs related to cloud infrastructure associated with the Tile and Jiobit subscription offerings, an increase of $2.7 million in membership offerings due to an increase in direct costs related to product offerings, an increase of $0.7 million related to depreciation and amortization expense associated with the acquisition of Tile and Jiobit, an increase of $0.8 million in personnel and related costs and stock-based compensation due to increased headcount, and an increase of $0.3 million related to an increase in professional and consulting fees. The remaining increase of $1.0 million is attributable to other technology related expenses associated with Company growth.</w:t>
      </w:r>
    </w:p>
    <w:p>
      <w:pPr>
        <w:spacing w:after="0" w:line="18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Subscription margin decreased slightly to 79% during the nine months ended September 30, 2022 as compared to 80% during the nine months ended September 30, 2021, primarily due to increased technology amortization costs related to the Tile and Jiobit acquisitions.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Cost of hardware revenue increased by $27.8 million, or 33,932%, during the nine months ended September 30, 2022 as compared to the nine months ended September 30, 2021, primarily due to the inclusion of hardware costs of approximately $19.2 million related to Tile and Jiobit hardware costs, an additional $2.0 million in technology expenses, an additional $1.7 million related to depreciation and amortization, an additional $0.5 million in professional and other expenses, and an additional $3.4 million in personnel-related costs and stock-based compensation due to increased headcount. The remaining increase of $1.0 million is attributable to other cost of hardware revenue related expenses.</w:t>
      </w:r>
    </w:p>
    <w:p>
      <w:pPr>
        <w:spacing w:after="0" w:line="183"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Hardware margin increased to 1% during the nine months ended September 30, 2022 as compared to the nine months ended September 30, 2021 and was negatively impacted by the inclusion of the amortization expense recognized on acquired technology related to intangible assets as well as the inclusion of additional personnel-related costs and stock-based compensation due to increased headcount.</w:t>
      </w:r>
    </w:p>
    <w:p>
      <w:pPr>
        <w:spacing w:after="0" w:line="17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Other cost of revenue increased by $12.0 thousand, or 0%, during the nine months ended September 30, 2022 as compared to the nine months ended September 30, 2021, primarily due to increased stock-based compensation costs.</w:t>
      </w:r>
    </w:p>
    <w:p>
      <w:pPr>
        <w:spacing w:after="0" w:line="16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Other margin increased to 87% during the nine months ended September 30, 2022 from 85% during the nine months ended September 30, 2021, primarily due to increased volume of activity and cloud infrastructure optimization.</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center"/>
              <w:ind w:left="661"/>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24,569</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11,456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891"/>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661"/>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$11.5 million, or 87%, during the three months ended September 30, 2022 as compared to the three months ended September 30, 2021. The increase was primarily due to an increase of $8.5 million in personnel-related costs and stock based compensation due to headcount growth attributable to the Tile and Jiobit acquisitions, an increase of $0.8 million in professional and outside services due to higher contractor spend as a result of increased scaling of the combined business, an increase of $0.7 million in technology expenses due to higher costs primarily related to cloud and data server infrastructure, an increase of $0.6 million in costs associated with travel and entertainment in connection with team meetings, and a $0.9 million increase in facilities and other expenses to support headcount growth.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center"/>
              <w:ind w:left="64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77,337</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41,516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bl>
    <w:p>
      <w:pPr>
        <w:spacing w:after="0" w:line="2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$41.5 million, or 116%, during the nine months ended September 30, 2022 as compared to the nine months ended September 30, 2021. The increase was primarily due to an increase of $29.8 million in personnel-related costs and stock based compensation due to headcount growth attributable to the Tile and Jiobit acquisitions, an increase of $5.0 million in professional and outside services due to higher contractor spend as a result of increased scaling of the combined business, an increase of $3.4 million in technology expenses due to higher costs primarily related to cloud and data server infrastructure, an increase of $1.3 million in costs associated with travel and entertainment in connection with team meetings, and a $2.0 million increase in facilities and other expenses to support headcount growth.</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center"/>
              <w:ind w:left="6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24,228</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10,868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Sales and marketing expenses increased $10.9 million, or 81%, during the three months ended September 30, 2022 as compared to the three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2021. This increase was primarily due to a $6.0 million increase in marketing expenses consisting of $2.0 million in paid user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spend, $1.8 million in television advertising spend, $1.7 million in commission spend, and $0.5 million in other marketing spend. The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also related to an additional $2.8 million in personnel and related costs and stock-based compensation due to increased headcount,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in depreciation and amortization related to the amortization of intangible assets acquired from the Tile and Jiobit acquisitions,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due to higher contractor spend as a result of increased scaling of the combined business, and a $0.3 million increase in technology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higher costs to support headcount growth.</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center"/>
              <w:ind w:left="64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70,365</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38,209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bl>
    <w:p>
      <w:pPr>
        <w:spacing w:after="0" w:line="292"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$38.2 million, or 119%, during the nine months ended September 30, 2022 as compared to the nine months ended September 30, 2021. This increase was primarily due to a $22.8 million increase in marketing expenses consisting of $6.0 million in paid user acquisition spend, $0.8 million related to brand spend, $4.4 million related to television advertising spend, $7.0 million in commission spend, and $4.6 million of other marketing spend. The increase was also related to an additional $9.5 million in personnel and related costs and stock-based compensation due to increased headcount, an increase of $3.1 million in depreciation and amortization related to the amortization of intangible assets acquired from the Tile and Jiobit acquisitions, an increase of $2.1 million due to higher contractor spend as a result of increased scaling of the combined business, and a $0.7 million increase in technology expenses due to higher costs to support headcount growth.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center"/>
              <w:ind w:left="6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11,567</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bl>
    <w:p>
      <w:pPr>
        <w:spacing w:after="0" w:line="29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$6.0 million, or 107%, during the three months ended September 30, 2022 as compared to the three months ended September 30, 2021. As a result of our continued investment in headcount and recent acquisitions, personnel and related costs and stock-based compensation increased by $3.5 million. In addition, professional and outside services increased by $1.7 million primarily due to an increase in accounting, legal and advisory fees. The Company also saw a $0.1 million increase in technology expenses and a $0.3 million increase in facilities and related expenses due to higher costs to support headcount growth. The remaining increase of $0.4 million is attributable to other general and administrative expenses associated with Company growth.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center"/>
              <w:ind w:left="64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37,643</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24,152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bl>
    <w:p>
      <w:pPr>
        <w:spacing w:after="0" w:line="27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increased $24.2 million, or 179%, during the nine months ended September 30, 2022 as compared to the nine months ended September 30, 2021. As a result of our continued investment in headcount and recent acquisitions, personnel and related costs and stock-based compensation increased by $14.8 million. In addition, professional and outside services increased by $12.6 million primarily due to Tile Acquisition costs of approximately $5.0 million and increased expenses related to accounting, legal and advisors due to the Company’s initial Form 10 filing in April 2022 and the subsequent SEC review process, which was completed in July 2022. The Company also saw a $0.6 million increase in technology expenses and a $1.1 million increase in facilities and related expenses due to higher costs to support headcount growth. These increases were offset by a reduction in the fair value of contingent consideration related to Jiobit of approximately $5.3 million as it was determined a portion of the contingent consideration metrics would not be met. The remaining increase of $0.4 million is attributable to other general and administrative expenses associated with Company growth.</w:t>
      </w:r>
    </w:p>
    <w:p>
      <w:pPr>
        <w:spacing w:after="0" w:line="2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Notes Fair Value Adjustment</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 issued convertible notes to investors in July 2021, and as part of the purchase consideration related to the Jiobit Acquisition in September 2021 (the “September 2021 Convertible Notes” and together with the July 2021 Convertible Notes, the “Convertible Notes”). The September 2021 Convertible Notes are recorded at fair value and are revalued at each reporting period. For the three and nine months ended September 30, 2022, the Company recorded a loss associated with the convertible notes fair value adjustment of $0.2 million and a gain of $1.9 million, respectively. There was no fair value adjustment related to convertible notes recorded during the three and nine months ended September 30, 2021.</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Liability Fair Value Adjustment</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derivative liability fair value decreased by $0.3 million, or 65%, during the three months ended September 30, 2022 as compared to the three months ended September 30, 2021 and decreased $1.6 million, or 387%, during the nine months ended September 30, 2022 as compared to the nine months ended September 30, 2021. The changes are due to the revaluation of the derivative liability at each reporting period and are related to embedded redemption features bifurcated from the July 2021 Convertible Notes issued to investors.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$0.5 million, or 22,650%, during the three months ended September 30, 2022 as compared to the three months ended September 30, 2021 and decreased $0.6 million, or 12,120% during the nine months ended September 30, 2022 as compared to the nine months ended September 30, 2021. The other expense includes an increase in interest expense associated with the Convertible Notes and an increase in foreign exchange losses.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Provision (Benefit) for Income Taxes</w:t>
      </w:r>
    </w:p>
    <w:p>
      <w:pPr>
        <w:spacing w:after="0" w:line="11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provision (benefit) for income taxes increased $0.2 million, or 151%, during the three months ended September 30, 2022 as compared to the three months ended September 30, 2021 and increased $0.2 million, or 158%, during the nine months ended September 30, 2022 as compared to the nine months ended September 30, 2021. The increases are primarily due to the tax effects related to the Tile Acquisition.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at all or generate cash flows necessary to expand our operations and invest in continued innovation, we may not be able to compete successfully, which would harm our business, financial condition and results of operations.</w:t>
      </w:r>
    </w:p>
    <w:p>
      <w:pPr>
        <w:spacing w:after="0" w:line="183"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A number of our users pay in advance for annual subscriptions, while a majority pay in advance for monthly subscriptions. Deferred revenue consists of the unearned portion of customer billings, which is recognized as revenue in accordance with our revenue recognition policy. As of September 30, 2022 and 2021, we had deferred revenue of $30.9 million and $13.9 million, respectively, of which $27.9 million and $13.9 million is expected to be recorded as revenue in the next 12 months, provided all other revenue recognition criteria have been met.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 activities were as follows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40" w:type="dxa"/>
            <w:vAlign w:val="bottom"/>
          </w:tcPr>
          <w:p>
            <w:pPr>
              <w:spacing w:after="0"/>
              <w:rPr>
                <w:sz w:val="16"/>
                <w:szCs w:val="16"/>
                <w:color w:val="auto"/>
              </w:rPr>
            </w:pPr>
          </w:p>
        </w:tc>
      </w:tr>
      <w:tr>
        <w:trPr>
          <w:trHeight w:val="23"/>
        </w:trPr>
        <w:tc>
          <w:tcPr>
            <w:tcW w:w="6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1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tcPr>
          <w:p>
            <w:pPr>
              <w:spacing w:after="0"/>
              <w:rPr>
                <w:sz w:val="17"/>
                <w:szCs w:val="17"/>
                <w:color w:val="auto"/>
              </w:rPr>
            </w:pPr>
          </w:p>
        </w:tc>
      </w:tr>
      <w:tr>
        <w:trPr>
          <w:trHeight w:val="23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4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(54,897)</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(114,102)</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(used)/provided by financing activities</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4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(172,470)</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w:t>
            </w:r>
          </w:p>
        </w:tc>
      </w:tr>
      <w:tr>
        <w:trPr>
          <w:trHeight w:val="20"/>
        </w:trPr>
        <w:tc>
          <w:tcPr>
            <w:tcW w:w="6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paying users for subscriptions to our platform and hardware device sales. Our primary uses of cash from operating activities are for employee-related expenditures, inventory, infrastructure-related costs, commissions and other marketing expenses. Net cash used in operating activities is impacted by our net loss adjusted for certain non-cash items, including depreciation and amortization expenses, amortization of costs capitalized to obtain a contract, and stock-based compensation, as well as the effect of changes in operating assets and liabilities.</w:t>
      </w:r>
    </w:p>
    <w:p>
      <w:pPr>
        <w:spacing w:after="0" w:line="183"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operating activities was $54.9 million. The primary factors affecting our operating cash flows during this period were our net loss of $79.3 million, impacted by $24.6 million non-cash charges, and $0.2 million of cash provided by changes in our operating assets and liabilities. The non-cash charges primarily consisted of $24.5 million in stock-based compensation, $1.9 million gain in convertible notes fair value adjustment, $5.3 million in gain on revaluation of contingent consideration, $1.2 million gain in derivative liability fair value adjustment, $1.0 million noncash revenue from affiliate, $2.4 million of amortization of costs capitalized to obtain contracts, and $6.8 million of depreciation and amortization. The cash provided by changes in our operating assets and liabilities was primarily due to a $16.4 million decrease in accounts receivable, a $7.2 million decrease in prepaid expenses and other assets, a $0.6 million increase in other noncurrent liabilities, and a $2.4 million increase in deferred revenue. These amounts were partially offset by a $2.8 million increase in costs capitalized to obtain contracts, a $13.9 million decrease in accounts payable, a $4.9 million increase in inventory, and a $5.3 million decrease in accrued expenses and other liabilities.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operating activities was $0.3 million. The primary factors affecting our operating cash flows during this period were our net loss of $18.7 million, impacted by $12.5 million non-cash charges and $5.9 million of cash used by changes in our operating assets and liabilities. The non-cash charges primarily consisted of $8.4 million in stock-based compensation and $3.2 million in amortization of costs capitalized to obtain contracts. The cash used by changes in our operating assets and liabilities was primarily due to a $3.9 million increase in accounts receivable, net and a $1.4 million increase in costs capitalized to obtain contracts, net. These amounts were partially offset by a $4.0 million decrease in prepaid expenses and other assets, a $2.2 million increase in accounts payable, a $2.3 million increase in deferred revenue, and a $3.7 million increase in accrued expenses and other liabilities.</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investing activities was $114.1 million, which related to $113.4 million of cash paid for the Tile Acquisition, net of cash acquired and $0.7 million related to the capitalization of internal use software costs.</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investing activities was $7.0 million, which related to a $4.0 million cash advance on convertible note receivable and $3.0 million of cash paid for the Jiobit acquisition, net of cash acquired.</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used by financing activities was $3.5 million, which related to $0.7 million of cash used by exercise of stock options net of taxes paid related to net settlement of equity awards and $3.5 million of repayment of convertible notes offset by $0.6 million of proceeds from repayment of notes due from affiliates.</w:t>
      </w:r>
    </w:p>
    <w:p>
      <w:pPr>
        <w:spacing w:after="0" w:line="17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2021, net cash provided by financing activities was $1.1 million, which primarily related to $2.1 million in cash received in advance of the issuance of convertible notes offset by $0.9 million of</w:t>
      </w:r>
    </w:p>
    <w:p>
      <w:pPr>
        <w:spacing w:after="0"/>
        <w:rPr>
          <w:sz w:val="20"/>
          <w:szCs w:val="20"/>
          <w:color w:val="auto"/>
        </w:rPr>
      </w:pPr>
      <w:r>
        <w:rPr>
          <w:rFonts w:ascii="Times New Roman" w:cs="Times New Roman" w:eastAsia="Times New Roman" w:hAnsi="Times New Roman"/>
          <w:sz w:val="18"/>
          <w:szCs w:val="18"/>
          <w:color w:val="auto"/>
        </w:rPr>
        <w:t>cash used by the exercise of stock options net of taxes paid related to net settlement of equity awards.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Other Commitments</w:t>
      </w:r>
    </w:p>
    <w:p>
      <w:pPr>
        <w:spacing w:after="0" w:line="121"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convertible notes, operating leases for office space, and other purchase commitments. Our obligations under our convertible notes are described in the “Liquidity and Capital Resources” section and in Notes 6 and 9 to our condensed consolidated financial statements. Information regarding our non-cancellable lease and other purchase commitments as of September 30, 2022, can be found in Notes 8 and 11 to our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 and on various other assumptions we believe to be reasonable under the circumstances. Actual results could differ materially from the estimates made by our management. Other than items discussed in Note 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Summary of Significant Accounting Policies,” of our condensed consolidated financial statements, there have been no material changes to our critical accounting policies as compared to the critical accounting policies and significant judgments and estimates disclosed in our Form 10.</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3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86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we had $58.9 million and $231.3 million of cash equivalents invested in cash and cash equivalents and money market funds, respectively. Our cash and cash equivalents are held for working capital purposes.</w:t>
      </w:r>
    </w:p>
    <w:p>
      <w:pPr>
        <w:spacing w:after="0" w:line="16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a hypothetical 10% relative change in interest rates would not have a material impact on our condensed consolidated financial statements.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Our reporting currency and functional currency is the U.S. dollar. All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condensed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Fair Value Risk</w:t>
      </w:r>
    </w:p>
    <w:p>
      <w:pPr>
        <w:spacing w:after="0" w:line="11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we had $7.0 million and $23.2 million of liabilities that are measured at fair value, respectively. Fair value measurements include significant assumptions that are driven by market conditions and macroeconomic factors at measurement dates. Our condensed consolidated results of operations are therefore subject to market fluctuations and may be affected in the future as a result of these fair value changes.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1"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there are resource constraints and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our disclosure controls and procedures were effective at the reasonable assurance level as of September 30,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has occurred during the three months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80"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color w:val="auto"/>
        </w:rPr>
        <w:t xml:space="preserve">The information set forth under Note 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Commitments and Contingencies” in the notes to the condensed consolidated financial statements under the caption “Litigation” is incorporated herein by reference.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These risks and uncertainties may cause our operations to vary materially from those contemplated by our forward-looking statements. Readers should carefully consider the information in this Form 10-Q in connection with the risk factors disclosed within Item 1A “Risk Factors” in the Form 10. There have been no material changes to our risk factors from those described in the Form 10, except as set forth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related to heightened inflation, recession, financial and credit market disruptions and other economic conditions.</w:t>
      </w:r>
    </w:p>
    <w:p>
      <w:pPr>
        <w:spacing w:after="0" w:line="25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financial results, operations and prospects depend significantly on worldwide economic and geopolitical conditions, the demand for our products, and the financial condition of our customers and suppliers. Economic weakness and geopolitical uncertainty have in the past resulted, and may result in the future, in reduced demand for products resulting in decreased sales, margins and earnings. In 2022, the countries in which we operate experienced significantly heightened inflationary pressures, which we expect to continue into 2023. We may not be able to fully mitigate the impact of inflation through price increases, productivity initiatives and cost savings, which could have an adverse effect on our results of operations. In addition, if the U.S. economy enters a recession, we may experience sales declines which could have an adverse effect on our business, operating results and financial condition.</w:t>
      </w:r>
    </w:p>
    <w:p>
      <w:pPr>
        <w:spacing w:after="0" w:line="21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Similarly, disruptions in financial and/or credit markets may impact our ability to manage normal commercial relationships with our customers, suppliers and creditors. Further, in the event of a recession or threat of a recession, our customers and suppliers may suffer their own financial and economic challenges and as a result they may demand pricing accommodations, delay payment, or become insolvent, which could harm our ability to meet our customer demands or collect revenue or otherwise could harm our business. An economic or credit crisis could occur and impair credit availability and our ability to raise capital when needed. A disruption in the financial markets could impair our banking or other business partners, on whom we rely for access to capital. In addition, changes in tax or interest rates in the U.S. or other nations, whether due to recession, economic disruptions or other reasons, could have an adverse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September 30, 2022, we issued the following securities as compensation to certain of our employees and consultants:</w:t>
      </w:r>
    </w:p>
    <w:p>
      <w:pPr>
        <w:spacing w:after="0" w:line="11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September 8, 2022, the Company issued 214,522 shares of common stock to 188 employees and consultants in accordance with the vesting schedules set forth in RSU agreements previously entered into with such employees and consultants. The RSUs were a portion of the compensation paid to such employees and consultants for their services to us. Of the shares issued to employees, 109,517 shares were withheld by the Company to satisfy tax withholding obligations and/or to satisfy cash settlement options to employees, equaling approximately $1.3 million.</w:t>
      </w:r>
    </w:p>
    <w:p>
      <w:pPr>
        <w:spacing w:after="0" w:line="20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of 1933, as amended (the “Securities Act”) by virtue of Section 4(a)(2) of the Securities Act or Regulation D promulgated thereunder because the issuance of securities to the recipients did not involve a public offering, or in reliance on Rule 701 because the transactions were pursuant to compensatory benefit plans or contracts relating to compensation as provided under such rule.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7"/>
                <w:szCs w:val="17"/>
                <w:color w:val="auto"/>
              </w:rPr>
            </w:pPr>
          </w:p>
        </w:tc>
        <w:tc>
          <w:tcPr>
            <w:tcW w:w="10060" w:type="dxa"/>
            <w:vAlign w:val="bottom"/>
            <w:gridSpan w:val="4"/>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Chief Executive Officer Certification Pursuant to Rule 13a-14(a) of the Exchange Act.</w:t>
            </w:r>
          </w:p>
        </w:tc>
        <w:tc>
          <w:tcPr>
            <w:tcW w:w="3820" w:type="dxa"/>
            <w:vAlign w:val="bottom"/>
            <w:gridSpan w:val="2"/>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Chief Financial Officer Certification Pursuant to Rule 13a-14(a) of the Exchange Act.</w:t>
            </w:r>
          </w:p>
        </w:tc>
        <w:tc>
          <w:tcPr>
            <w:tcW w:w="25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w:t>
            </w:r>
          </w:p>
        </w:tc>
        <w:tc>
          <w:tcPr>
            <w:tcW w:w="13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2*</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w:t>
            </w:r>
          </w:p>
        </w:tc>
        <w:tc>
          <w:tcPr>
            <w:tcW w:w="1380" w:type="dxa"/>
            <w:vAlign w:val="bottom"/>
            <w:tcBorders>
              <w:bottom w:val="single" w:sz="8" w:color="0000FF"/>
            </w:tcBorders>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324"/>
        </w:trPr>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324"/>
        </w:trPr>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24"/>
        </w:trPr>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324"/>
        </w:trPr>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32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18" w:lineRule="exact"/>
        <w:rPr>
          <w:sz w:val="20"/>
          <w:szCs w:val="20"/>
          <w:color w:val="auto"/>
        </w:rPr>
      </w:pPr>
    </w:p>
    <w:p>
      <w:pPr>
        <w:ind w:left="660" w:right="20" w:hanging="652"/>
        <w:spacing w:after="0" w:line="253" w:lineRule="auto"/>
        <w:tabs>
          <w:tab w:leader="none" w:pos="2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4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LIFE360, INC.</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14, 2022</w:t>
            </w:r>
          </w:p>
        </w:tc>
        <w:tc>
          <w:tcPr>
            <w:tcW w:w="19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Hulls</w:t>
            </w:r>
          </w:p>
        </w:tc>
      </w:tr>
      <w:tr>
        <w:trPr>
          <w:trHeight w:val="228"/>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Hulls</w:t>
            </w:r>
          </w:p>
        </w:tc>
      </w:tr>
      <w:tr>
        <w:trPr>
          <w:trHeight w:val="312"/>
        </w:trPr>
        <w:tc>
          <w:tcPr>
            <w:tcW w:w="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14, 2022</w:t>
            </w:r>
          </w:p>
        </w:tc>
        <w:tc>
          <w:tcPr>
            <w:tcW w:w="19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Russell Burke</w:t>
            </w:r>
          </w:p>
        </w:tc>
      </w:tr>
      <w:tr>
        <w:trPr>
          <w:trHeight w:val="228"/>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Burke</w:t>
            </w:r>
          </w:p>
        </w:tc>
      </w:tr>
    </w:tbl>
    <w:p>
      <w:pPr>
        <w:spacing w:after="0" w:line="8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225"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Hulls, certify that:</w:t>
      </w:r>
    </w:p>
    <w:p>
      <w:pPr>
        <w:spacing w:after="0" w:line="18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Life360, Inc. (the “registrant”);</w:t>
      </w:r>
    </w:p>
    <w:p>
      <w:pPr>
        <w:spacing w:after="0" w:line="198" w:lineRule="exact"/>
        <w:rPr>
          <w:rFonts w:ascii="Times New Roman" w:cs="Times New Roman" w:eastAsia="Times New Roman" w:hAnsi="Times New Roman"/>
          <w:sz w:val="18"/>
          <w:szCs w:val="18"/>
          <w:color w:val="auto"/>
        </w:rPr>
      </w:pPr>
    </w:p>
    <w:p>
      <w:pPr>
        <w:jc w:val="both"/>
        <w:ind w:left="280" w:hanging="272"/>
        <w:spacing w:after="0" w:line="226" w:lineRule="auto"/>
        <w:tabs>
          <w:tab w:leader="none" w:pos="3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280" w:hanging="272"/>
        <w:spacing w:after="0" w:line="250" w:lineRule="auto"/>
        <w:tabs>
          <w:tab w:leader="none" w:pos="4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ind w:left="900" w:hanging="244"/>
        <w:spacing w:after="0" w:line="237" w:lineRule="auto"/>
        <w:tabs>
          <w:tab w:leader="none" w:pos="10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9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1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900" w:hanging="244"/>
        <w:spacing w:after="0" w:line="237" w:lineRule="auto"/>
        <w:tabs>
          <w:tab w:leader="none" w:pos="10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14,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91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Burke , certify that:</w:t>
      </w:r>
    </w:p>
    <w:p>
      <w:pPr>
        <w:spacing w:after="0" w:line="19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Life360, Inc. (the “registrant”);</w:t>
      </w:r>
    </w:p>
    <w:p>
      <w:pPr>
        <w:spacing w:after="0" w:line="184" w:lineRule="exact"/>
        <w:rPr>
          <w:rFonts w:ascii="Times New Roman" w:cs="Times New Roman" w:eastAsia="Times New Roman" w:hAnsi="Times New Roman"/>
          <w:sz w:val="18"/>
          <w:szCs w:val="18"/>
          <w:color w:val="auto"/>
        </w:rPr>
      </w:pPr>
    </w:p>
    <w:p>
      <w:pPr>
        <w:jc w:val="both"/>
        <w:ind w:left="280" w:hanging="272"/>
        <w:spacing w:after="0" w:line="231" w:lineRule="auto"/>
        <w:tabs>
          <w:tab w:leader="none" w:pos="3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4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08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97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1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900" w:hanging="244"/>
        <w:spacing w:after="0" w:line="237" w:lineRule="auto"/>
        <w:tabs>
          <w:tab w:leader="none" w:pos="104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14,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13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accompanying Quarterly Report of Life360, Inc. (the “Company”), on Form 10-Q for the quarter ended September 30,</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2022 (the “Report”), I, Chris Hulls, Chief Executive Officer of the Company, hereby certify pursuant to 18 U.S.C. § 1350, as adopted pursuant to § 906 of the Sarbanes-Oxley Act of 2002 that, to my knowledge: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right="340" w:hanging="644"/>
        <w:spacing w:after="0" w:line="237" w:lineRule="auto"/>
        <w:tabs>
          <w:tab w:leader="none" w:pos="1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14,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4517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3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accompanying Quarterly Report of Life360, Inc. (the “Company”), on Form 10-Q for the quarter ended September 30,</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2022 (the “Report”), I, Russell Burke, Chief Financial Officer of the Company, hereby certify pursuant to 18 U.S.C. § 1350, as adopted pursuant to § 906 of the Sarbanes-Oxley Act of 2002 that, to my knowledge: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line="237" w:lineRule="auto"/>
        <w:tabs>
          <w:tab w:leader="none" w:pos="12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920" w:val="left"/>
          <w:tab w:leader="none" w:pos="592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14,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2022-11-14T13:26:45Z</dcterms:created>
  <dcterms:modified xsi:type="dcterms:W3CDTF">2022-11-14T13:26:45Z</dcterms:modified>
</cp:coreProperties>
</file>