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6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2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12/04/2023</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270,000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14.6875</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2,174,537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29,960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expressed in United States Dollars using the conversion rate on December 4,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1,171,291 shares of the Issuer's common stock underlying 3,513,873 Chess Depositary Interests ("CDIs"). The CDIs are traded on the Australian Securities Exchange (the "ASX") and are held by CHESS Depositary Nominees Pty, Limited, a subsidiary of ASX Limited, the company that operates the ASX. Also includes 60,572 restricted stock units, each of which represents a contingent right to receive one share of the Issuer's common stock upon vesting.</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12/05/2023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2023-12-05T13:07:09Z</dcterms:created>
  <dcterms:modified xsi:type="dcterms:W3CDTF">2023-12-05T13:07:09Z</dcterms:modified>
</cp:coreProperties>
</file>