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232410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Life360,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000-56424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26-0197666</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(State or other jurisdiction of</w:t>
      </w:r>
    </w:p>
    <w:p>
      <w:pPr>
        <w:ind w:left="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539 Bryant Street, Suite 402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484-5244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226060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34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None.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On November 20, 2022 (November 21, 2022 in Australia), Life360, Inc. (the “Company” or “we”) entered into an underwriting agreement, whereby it has agreed to issue 2,645,503 shares of its common stock in the form of 7,936,509 new CHESS Depositary Interests (“CDIs”) (with each CDI representing one-third of a share of the Company’s common stock, par value $0.001 per share) to institutional investors (the “Placement”). The Company expects to receive aggregate gross proceeds of approximately US$33 million and pay aggregate underwriting commissions of approximately US$0.9 million in connection with the Placement. The Placement was fully underwritten by Bell Potter Securities Limited. MST Financial Services Pty Ltd acted as Co-Lead Manager. The issuance of the CDIs in the Placement will be made in reliance upon the exemption from registration contained in Regulation S of the Securities Act of 1933 (the “Securities Act”).</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We are furnishing this Current Report on Form 8-K in connection with the announcement of the Placement in the form of the textual information from a press release issued on November 21, 2022. A copy of the press release is furnished as Exhibit 99.1 to this Current Report on Form 8-K.</w:t>
      </w:r>
    </w:p>
    <w:p>
      <w:pPr>
        <w:spacing w:after="0" w:line="12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information in this Item 7.01 of this Current Report on Form 8-K (including Exhibit 99.1) is furnished pursuant to Item 7.01 and shall not be deemed to be “filed” for the purpose of Section 18 of the Securities Exchange Act of 1934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of the materiality of any information in this Item 7.01 that is required to be disclosed solely by Regulation FD.</w:t>
      </w:r>
    </w:p>
    <w:p>
      <w:pPr>
        <w:spacing w:after="0" w:line="176"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 text included with this Item 7.01 of this Current Report on Form 8-K and future press releases, presentations and other information issued in connection with the equity capital raising will be available on our website located at www.life360.com, although we reserve the right to discontinue that availability at any time.</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press release furnished as Exhibit 99.1 contains certain financial information not calculated in accordance with U.S. generally accepted accounting principles (“GAAP”). We collect and analyze operating and financial data to evaluate the health of our business, allocate our resources and assess our performance.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EBITDA and Adjusted EBITDA</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addition to total revenue, Net Loss and other results under GAAP, we utilize non-GAAP calculations of earnings before interest, taxes, depreciation and amortization (“EBITDA”) and adjusted earnings before interest, taxes, depreciation and amortization (“Adjusted EBITDA”). EBITDA is defined as Net Loss, excluding (i) convertible notes and derivative liability fair value adjustments, (ii) provision (benefit) for income taxes, (iii) depreciation and amortization and (iv) other income (expense). Adjusted EBITDA is defined as Net Loss, excluding (i) convertible notes and derivative liability fair value adjustments, (ii) provision (benefit) for income taxes, (iii) depreciation and amortization, (iv) other income (expense), (v) stock-based compensation, (vi) costs related to filing our Registration Statement on Form 10 filed with the Securities and Exchange Commission on April 26, 2022, as amended by Amendment No. 1 filed on June 13, 2022 and Amendment No. 2 filed on July 5, 2022, and effective as of June 27, 2022 (“Form 10”), (vii) acquisition and integration costs, and (viii) gain on revaluation of contingent consideration.</w:t>
      </w:r>
    </w:p>
    <w:p>
      <w:pPr>
        <w:spacing w:after="0" w:line="17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The above items are excluded from EBITDA and Adjusted EBITDA because these items are non-cash in nature, or because the amount and timing of these items are unpredictable, are not driven by core results of operations and render comparisons with prior periods and competitors less meaningful. We believe EBITDA and Adjusted EBITDA provide useful information to investors and others in understanding and evaluating our results of operations, as well as providing useful measures for period-to-period comparisons of our business performance. Moreover, we disclose EBITDA and Adjusted EBITDA because they are key measurements used by our management team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these non-GAAP financial measures in addition to other financial performance measures presented in accordance with GAAP, including various cash flow metrics, Net Loss and our other GAAP results.</w:t>
      </w:r>
    </w:p>
    <w:p>
      <w:pPr>
        <w:spacing w:after="0" w:line="33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Life360, Inc. Press Release</w:t>
      </w:r>
    </w:p>
    <w:p>
      <w:pPr>
        <w:spacing w:after="0" w:line="117"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November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Russell Burke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ind w:left="10084"/>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186055</wp:posOffset>
            </wp:positionV>
            <wp:extent cx="172275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27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FOR DISTRIBUTION OR RELEASE IN THE UNITED STATES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ASX ANNOUNCEMENT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22 November 2022</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Life360 completes A$50 million Placement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Key Highlights</w:t>
      </w:r>
    </w:p>
    <w:p>
      <w:pPr>
        <w:spacing w:after="0" w:line="131" w:lineRule="exact"/>
        <w:rPr>
          <w:sz w:val="20"/>
          <w:szCs w:val="20"/>
          <w:color w:val="auto"/>
        </w:rPr>
      </w:pPr>
    </w:p>
    <w:p>
      <w:pPr>
        <w:ind w:left="424" w:right="500" w:hanging="424"/>
        <w:spacing w:after="0" w:line="282"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Life360, Inc. (“Life360” or “Company”) completes an Institutional Placement of new Life360 CDIs to institutional investors to raise approximately A$50 million (equivalent to approximately US$33 million).</w:t>
      </w:r>
    </w:p>
    <w:p>
      <w:pPr>
        <w:spacing w:after="0" w:line="67"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The Placement was fully underwritten and will result in approximately 7.9 million New CDIs being issued at an issue price of A$6.30.</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Fully Underwritten Placement</w:t>
      </w:r>
    </w:p>
    <w:p>
      <w:pPr>
        <w:spacing w:after="0" w:line="121" w:lineRule="exact"/>
        <w:rPr>
          <w:sz w:val="20"/>
          <w:szCs w:val="20"/>
          <w:color w:val="auto"/>
        </w:rPr>
      </w:pPr>
    </w:p>
    <w:p>
      <w:pPr>
        <w:jc w:val="both"/>
        <w:ind w:left="4" w:right="180"/>
        <w:spacing w:after="0" w:line="308" w:lineRule="auto"/>
        <w:rPr>
          <w:sz w:val="20"/>
          <w:szCs w:val="20"/>
          <w:color w:val="auto"/>
        </w:rPr>
      </w:pPr>
      <w:r>
        <w:rPr>
          <w:rFonts w:ascii="Arial" w:cs="Arial" w:eastAsia="Arial" w:hAnsi="Arial"/>
          <w:sz w:val="17"/>
          <w:szCs w:val="17"/>
          <w:color w:val="auto"/>
        </w:rPr>
        <w:t>The Placement was priced at A$6.30 per New CDI, which was the maximum price of the bookbuild range of A$6.20 to A$6.30. The price represents a 3.55% discount to the 5-day volume-weighted average price of Life360 CDIs up to, and including, 18 November 2022 of A$6.53.</w:t>
      </w:r>
    </w:p>
    <w:p>
      <w:pPr>
        <w:spacing w:after="0" w:line="146"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No shareholder approval is required for the Placement as the New CDIs issued under the Placement will be issued within the Company’s existing placement capacity under ASX Listing Rule 7.1. New CDIs will rank equally with existing CDIs.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Placement was fully underwritten by Bell Potter Securities Limited. MST Financial Services Pty Ltd acted as Co-Lead Manager.</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Rationale</w:t>
      </w:r>
    </w:p>
    <w:p>
      <w:pPr>
        <w:spacing w:after="0" w:line="121"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The Placement is a prudent capital management initiative that provides a strong cash buffer at a time of uncertainty across the global macroeconomic environment.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Strategic Discussions</w:t>
      </w:r>
    </w:p>
    <w:p>
      <w:pPr>
        <w:spacing w:after="0" w:line="121" w:lineRule="exact"/>
        <w:rPr>
          <w:sz w:val="20"/>
          <w:szCs w:val="20"/>
          <w:color w:val="auto"/>
        </w:rPr>
      </w:pPr>
    </w:p>
    <w:p>
      <w:pPr>
        <w:jc w:val="both"/>
        <w:ind w:left="4" w:right="160"/>
        <w:spacing w:after="0" w:line="286" w:lineRule="auto"/>
        <w:rPr>
          <w:sz w:val="20"/>
          <w:szCs w:val="20"/>
          <w:color w:val="auto"/>
        </w:rPr>
      </w:pPr>
      <w:r>
        <w:rPr>
          <w:rFonts w:ascii="Arial" w:cs="Arial" w:eastAsia="Arial" w:hAnsi="Arial"/>
          <w:sz w:val="17"/>
          <w:szCs w:val="17"/>
          <w:color w:val="auto"/>
        </w:rPr>
        <w:t>Life360 has received inbound interest from potential parties that could result in a merger with another entity. Any such discussions are preliminary and Life360 remains focused on its existing strategic plan, and there is no certainty that they will lead to any transaction. Life360 receives inbound interest from time to time and only considers options that it believes are likely to result in an increase in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6" w:lineRule="exact"/>
        <w:rPr>
          <w:sz w:val="20"/>
          <w:szCs w:val="20"/>
          <w:color w:val="auto"/>
        </w:rPr>
      </w:pPr>
    </w:p>
    <w:p>
      <w:pPr>
        <w:ind w:left="4"/>
        <w:spacing w:after="0"/>
        <w:tabs>
          <w:tab w:leader="none" w:pos="10504" w:val="left"/>
        </w:tabs>
        <w:rPr>
          <w:sz w:val="20"/>
          <w:szCs w:val="20"/>
          <w:color w:val="auto"/>
        </w:rPr>
      </w:pPr>
      <w:r>
        <w:rPr>
          <w:rFonts w:ascii="Arial" w:cs="Arial" w:eastAsia="Arial" w:hAnsi="Arial"/>
          <w:sz w:val="18"/>
          <w:szCs w:val="18"/>
          <w:color w:val="auto"/>
        </w:rPr>
        <w:t>Life360, Inc. | ARBN 629 412 942 | 539 Bryant St, Suite 402, San Francisco, CA 94107 | investors.life360.com</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024"/>
          </w:cols>
          <w:pgMar w:left="436"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68655"/>
                    </a:xfrm>
                    <a:prstGeom prst="rect">
                      <a:avLst/>
                    </a:prstGeom>
                    <a:noFill/>
                  </pic:spPr>
                </pic:pic>
              </a:graphicData>
            </a:graphic>
          </wp:anchor>
        </w:drawing>
        <w:t>Reaffirmation of Earnings Guidance</w:t>
      </w:r>
      <w:r>
        <w:rPr>
          <w:rFonts w:ascii="Arial" w:cs="Arial" w:eastAsia="Arial" w:hAnsi="Arial"/>
          <w:sz w:val="26"/>
          <w:szCs w:val="26"/>
          <w:b w:val="1"/>
          <w:bCs w:val="1"/>
          <w:color w:val="auto"/>
          <w:vertAlign w:val="superscript"/>
        </w:rPr>
        <w:t>1</w:t>
      </w:r>
    </w:p>
    <w:p>
      <w:pPr>
        <w:spacing w:after="0" w:line="45" w:lineRule="exact"/>
        <w:rPr>
          <w:sz w:val="20"/>
          <w:szCs w:val="20"/>
          <w:color w:val="auto"/>
        </w:rPr>
      </w:pPr>
    </w:p>
    <w:p>
      <w:pPr>
        <w:ind w:left="4"/>
        <w:spacing w:after="0"/>
        <w:rPr>
          <w:sz w:val="20"/>
          <w:szCs w:val="20"/>
          <w:color w:val="auto"/>
        </w:rPr>
      </w:pPr>
      <w:r>
        <w:rPr>
          <w:rFonts w:ascii="Arial" w:cs="Arial" w:eastAsia="Arial" w:hAnsi="Arial"/>
          <w:sz w:val="18"/>
          <w:szCs w:val="18"/>
          <w:color w:val="auto"/>
        </w:rPr>
        <w:t>Life360 reaffirms the Earnings Guidance previously provided to the market with Q3 2022 results on 15 November 2022.</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recap, for CY22 Life360 expects to deliver:</w:t>
      </w:r>
    </w:p>
    <w:p>
      <w:pPr>
        <w:spacing w:after="0" w:line="131" w:lineRule="exact"/>
        <w:rPr>
          <w:sz w:val="20"/>
          <w:szCs w:val="20"/>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Core Life360 subscription revenue (excluding Tile and Jiobit) growth in excess of 55%;</w:t>
      </w:r>
    </w:p>
    <w:p>
      <w:pPr>
        <w:spacing w:after="0" w:line="130" w:lineRule="exact"/>
        <w:rPr>
          <w:rFonts w:ascii="Arial" w:cs="Arial" w:eastAsia="Arial" w:hAnsi="Arial"/>
          <w:sz w:val="18"/>
          <w:szCs w:val="18"/>
          <w:color w:val="auto"/>
        </w:rPr>
      </w:pPr>
    </w:p>
    <w:p>
      <w:pPr>
        <w:ind w:left="964" w:right="100" w:hanging="424"/>
        <w:spacing w:after="0" w:line="277"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revenue of US$225-240 million for subscription (direct), hardware and other (indirect) revenue. The revenue range is highly dependent on Q4 stand-alone hardware performance;</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loss in the range of US$(37)-(41) million.</w:t>
      </w:r>
    </w:p>
    <w:p>
      <w:pPr>
        <w:spacing w:after="0" w:line="133"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Life360 expects to finish CY22 with an Annualized Monthly Revenue (excluding hardware) of more than US$215 million, noting this does not include any price changes for existing Android subscribers.</w:t>
      </w:r>
    </w:p>
    <w:p>
      <w:pPr>
        <w:spacing w:after="0" w:line="170" w:lineRule="exact"/>
        <w:rPr>
          <w:sz w:val="20"/>
          <w:szCs w:val="20"/>
          <w:color w:val="auto"/>
        </w:rPr>
      </w:pPr>
    </w:p>
    <w:p>
      <w:pPr>
        <w:ind w:left="4" w:right="100"/>
        <w:spacing w:after="0" w:line="275" w:lineRule="auto"/>
        <w:rPr>
          <w:sz w:val="20"/>
          <w:szCs w:val="20"/>
          <w:color w:val="auto"/>
        </w:rPr>
      </w:pPr>
      <w:r>
        <w:rPr>
          <w:rFonts w:ascii="Arial" w:cs="Arial" w:eastAsia="Arial" w:hAnsi="Arial"/>
          <w:sz w:val="17"/>
          <w:szCs w:val="17"/>
          <w:color w:val="auto"/>
        </w:rPr>
        <w:t>Year-end cash and cash equivalents are forecast in the range of US$55-60 million (before the impact of this capital raise), and we expect Life360 to be on a trajectory to consistently positive Adjusted EBITDA and Operating Cash Flow by CY23 Q3, such that we record positive Adjusted EBITDA and Operating Cash Flow for CY24. This target is being brought forward by one quarter, reflecting the very strong momentum in our recurring Membership revenues, and assumes no improvement in the current headwinds impacting stand-alone hardware sales. Additionally, the substantial discretionary spending levers in the business mean we are confident in Life360’s ability to fund its future growth.</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4" w:right="300"/>
        <w:spacing w:after="0" w:line="308" w:lineRule="auto"/>
        <w:rPr>
          <w:sz w:val="20"/>
          <w:szCs w:val="20"/>
          <w:color w:val="auto"/>
        </w:rPr>
      </w:pPr>
      <w:r>
        <w:rPr>
          <w:rFonts w:ascii="Arial" w:cs="Arial" w:eastAsia="Arial" w:hAnsi="Arial"/>
          <w:sz w:val="17"/>
          <w:szCs w:val="17"/>
          <w:color w:val="auto"/>
        </w:rPr>
        <w:t>Settlement of the Placement is scheduled for Friday, 25 November 2022, with New CDIs expected to be allotted on Monday, 28 November 2022 and trading to commence on a normal settlement basis on the Australian Securities Exchange (‘</w:t>
      </w:r>
      <w:r>
        <w:rPr>
          <w:rFonts w:ascii="Arial" w:cs="Arial" w:eastAsia="Arial" w:hAnsi="Arial"/>
          <w:sz w:val="17"/>
          <w:szCs w:val="17"/>
          <w:b w:val="1"/>
          <w:bCs w:val="1"/>
          <w:color w:val="auto"/>
        </w:rPr>
        <w:t>ASX</w:t>
      </w:r>
      <w:r>
        <w:rPr>
          <w:rFonts w:ascii="Arial" w:cs="Arial" w:eastAsia="Arial" w:hAnsi="Arial"/>
          <w:sz w:val="17"/>
          <w:szCs w:val="17"/>
          <w:color w:val="auto"/>
        </w:rPr>
        <w:t>’) on the same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2" w:lineRule="exact"/>
        <w:rPr>
          <w:sz w:val="20"/>
          <w:szCs w:val="20"/>
          <w:color w:val="auto"/>
        </w:rPr>
      </w:pPr>
    </w:p>
    <w:p>
      <w:pPr>
        <w:ind w:left="424" w:right="260" w:hanging="424"/>
        <w:spacing w:after="0" w:line="246" w:lineRule="auto"/>
        <w:tabs>
          <w:tab w:leader="none" w:pos="424"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In regards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w:t>
      </w:r>
    </w:p>
    <w:p>
      <w:pPr>
        <w:spacing w:after="0" w:line="2" w:lineRule="exact"/>
        <w:rPr>
          <w:sz w:val="20"/>
          <w:szCs w:val="20"/>
          <w:color w:val="auto"/>
        </w:rPr>
      </w:pPr>
    </w:p>
    <w:p>
      <w:pPr>
        <w:ind w:left="424" w:right="480"/>
        <w:spacing w:after="0" w:line="250" w:lineRule="auto"/>
        <w:rPr>
          <w:sz w:val="20"/>
          <w:szCs w:val="20"/>
          <w:color w:val="auto"/>
        </w:rPr>
      </w:pPr>
      <w:r>
        <w:rPr>
          <w:rFonts w:ascii="Arial" w:cs="Arial" w:eastAsia="Arial" w:hAnsi="Arial"/>
          <w:sz w:val="18"/>
          <w:szCs w:val="18"/>
          <w:color w:val="auto"/>
        </w:rPr>
        <w:t>precision that may be confusing or misleading to investors. These items include, but are not limited to, litigation costs, convertible notes and derivative liability fair value adjustments, and gain on revaluation of contingent consideration.</w:t>
      </w:r>
    </w:p>
    <w:p>
      <w:pPr>
        <w:spacing w:after="0" w:line="1" w:lineRule="exact"/>
        <w:rPr>
          <w:sz w:val="20"/>
          <w:szCs w:val="20"/>
          <w:color w:val="auto"/>
        </w:rPr>
      </w:pPr>
    </w:p>
    <w:p>
      <w:pPr>
        <w:ind w:left="424" w:right="340" w:hanging="424"/>
        <w:spacing w:after="0" w:line="225" w:lineRule="auto"/>
        <w:tabs>
          <w:tab w:leader="none" w:pos="424"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Adjusted EBITDA was previously referred to as Underlying EBITDA. For definitions of EBITDA and Adjusted EBITDA and the use of these non-GAAP measures, as well as a reconciliation of Net Loss to EBITDA and Adjusted EBITDA, refer to the Q3 2022 Results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4"/>
        <w:spacing w:after="0"/>
        <w:tabs>
          <w:tab w:leader="none" w:pos="10504" w:val="left"/>
        </w:tabs>
        <w:rPr>
          <w:sz w:val="20"/>
          <w:szCs w:val="20"/>
          <w:color w:val="auto"/>
        </w:rPr>
      </w:pPr>
      <w:r>
        <w:rPr>
          <w:rFonts w:ascii="Arial" w:cs="Arial" w:eastAsia="Arial" w:hAnsi="Arial"/>
          <w:sz w:val="18"/>
          <w:szCs w:val="18"/>
          <w:color w:val="auto"/>
        </w:rPr>
        <w:t>Life360, Inc. | ARBN 629 412 942 | 539 Bryant St, Suite 402, San Francisco, CA 94107 | investors.life360.com</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024"/>
          </w:cols>
          <w:pgMar w:left="436" w:top="1323"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Key Dates*</w:t>
            </w:r>
          </w:p>
        </w:tc>
        <w:tc>
          <w:tcPr>
            <w:tcW w:w="2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6700" w:type="dxa"/>
            <w:vAlign w:val="bottom"/>
          </w:tcPr>
          <w:p>
            <w:pPr>
              <w:ind w:left="880"/>
              <w:spacing w:after="0"/>
              <w:rPr>
                <w:sz w:val="20"/>
                <w:szCs w:val="20"/>
                <w:color w:val="auto"/>
              </w:rPr>
            </w:pPr>
            <w:r>
              <w:rPr>
                <w:rFonts w:ascii="Arial" w:cs="Arial" w:eastAsia="Arial" w:hAnsi="Arial"/>
                <w:sz w:val="18"/>
                <w:szCs w:val="18"/>
                <w:color w:val="auto"/>
              </w:rPr>
              <w:t>Trading halt announcement of Placement</w:t>
            </w:r>
          </w:p>
        </w:tc>
        <w:tc>
          <w:tcPr>
            <w:tcW w:w="3420" w:type="dxa"/>
            <w:vAlign w:val="bottom"/>
            <w:gridSpan w:val="2"/>
          </w:tcPr>
          <w:p>
            <w:pPr>
              <w:ind w:left="1360"/>
              <w:spacing w:after="0"/>
              <w:rPr>
                <w:sz w:val="20"/>
                <w:szCs w:val="20"/>
                <w:color w:val="auto"/>
              </w:rPr>
            </w:pPr>
            <w:r>
              <w:rPr>
                <w:rFonts w:ascii="Arial" w:cs="Arial" w:eastAsia="Arial" w:hAnsi="Arial"/>
                <w:sz w:val="18"/>
                <w:szCs w:val="18"/>
                <w:color w:val="auto"/>
                <w:w w:val="89"/>
              </w:rPr>
              <w:t>Monday, 21 November 2022</w:t>
            </w:r>
          </w:p>
        </w:tc>
      </w:tr>
      <w:tr>
        <w:trPr>
          <w:trHeight w:val="324"/>
        </w:trPr>
        <w:tc>
          <w:tcPr>
            <w:tcW w:w="6700" w:type="dxa"/>
            <w:vAlign w:val="bottom"/>
          </w:tcPr>
          <w:p>
            <w:pPr>
              <w:ind w:left="880"/>
              <w:spacing w:after="0"/>
              <w:rPr>
                <w:sz w:val="20"/>
                <w:szCs w:val="20"/>
                <w:color w:val="auto"/>
              </w:rPr>
            </w:pPr>
            <w:r>
              <w:rPr>
                <w:rFonts w:ascii="Arial" w:cs="Arial" w:eastAsia="Arial" w:hAnsi="Arial"/>
                <w:sz w:val="18"/>
                <w:szCs w:val="18"/>
                <w:color w:val="auto"/>
              </w:rPr>
              <w:t>Placement Bookbuild undertaken</w:t>
            </w:r>
          </w:p>
        </w:tc>
        <w:tc>
          <w:tcPr>
            <w:tcW w:w="3420" w:type="dxa"/>
            <w:vAlign w:val="bottom"/>
            <w:gridSpan w:val="2"/>
          </w:tcPr>
          <w:p>
            <w:pPr>
              <w:ind w:left="1360"/>
              <w:spacing w:after="0"/>
              <w:rPr>
                <w:sz w:val="20"/>
                <w:szCs w:val="20"/>
                <w:color w:val="auto"/>
              </w:rPr>
            </w:pPr>
            <w:r>
              <w:rPr>
                <w:rFonts w:ascii="Arial" w:cs="Arial" w:eastAsia="Arial" w:hAnsi="Arial"/>
                <w:sz w:val="18"/>
                <w:szCs w:val="18"/>
                <w:color w:val="auto"/>
                <w:w w:val="89"/>
              </w:rPr>
              <w:t>Monday, 21 November 2022</w:t>
            </w:r>
          </w:p>
        </w:tc>
      </w:tr>
      <w:tr>
        <w:trPr>
          <w:trHeight w:val="324"/>
        </w:trPr>
        <w:tc>
          <w:tcPr>
            <w:tcW w:w="6700" w:type="dxa"/>
            <w:vAlign w:val="bottom"/>
          </w:tcPr>
          <w:p>
            <w:pPr>
              <w:ind w:left="880"/>
              <w:spacing w:after="0"/>
              <w:rPr>
                <w:sz w:val="20"/>
                <w:szCs w:val="20"/>
                <w:color w:val="auto"/>
              </w:rPr>
            </w:pPr>
            <w:r>
              <w:rPr>
                <w:rFonts w:ascii="Arial" w:cs="Arial" w:eastAsia="Arial" w:hAnsi="Arial"/>
                <w:sz w:val="18"/>
                <w:szCs w:val="18"/>
                <w:color w:val="auto"/>
              </w:rPr>
              <w:t>Announcement of the results of Placement</w:t>
            </w:r>
          </w:p>
        </w:tc>
        <w:tc>
          <w:tcPr>
            <w:tcW w:w="2240" w:type="dxa"/>
            <w:vAlign w:val="bottom"/>
          </w:tcPr>
          <w:p>
            <w:pPr>
              <w:ind w:left="1360"/>
              <w:spacing w:after="0"/>
              <w:rPr>
                <w:sz w:val="20"/>
                <w:szCs w:val="20"/>
                <w:color w:val="auto"/>
              </w:rPr>
            </w:pPr>
            <w:r>
              <w:rPr>
                <w:rFonts w:ascii="Arial" w:cs="Arial" w:eastAsia="Arial" w:hAnsi="Arial"/>
                <w:sz w:val="18"/>
                <w:szCs w:val="18"/>
                <w:color w:val="auto"/>
                <w:w w:val="86"/>
              </w:rPr>
              <w:t>Tuesday, 22</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November 2022</w:t>
            </w:r>
          </w:p>
        </w:tc>
      </w:tr>
      <w:tr>
        <w:trPr>
          <w:trHeight w:val="324"/>
        </w:trPr>
        <w:tc>
          <w:tcPr>
            <w:tcW w:w="6700" w:type="dxa"/>
            <w:vAlign w:val="bottom"/>
          </w:tcPr>
          <w:p>
            <w:pPr>
              <w:ind w:left="880"/>
              <w:spacing w:after="0"/>
              <w:rPr>
                <w:sz w:val="20"/>
                <w:szCs w:val="20"/>
                <w:color w:val="auto"/>
              </w:rPr>
            </w:pPr>
            <w:r>
              <w:rPr>
                <w:rFonts w:ascii="Arial" w:cs="Arial" w:eastAsia="Arial" w:hAnsi="Arial"/>
                <w:sz w:val="18"/>
                <w:szCs w:val="18"/>
                <w:color w:val="auto"/>
              </w:rPr>
              <w:t>Trading halt lifted and CDIs recommence trading</w:t>
            </w:r>
          </w:p>
        </w:tc>
        <w:tc>
          <w:tcPr>
            <w:tcW w:w="2240" w:type="dxa"/>
            <w:vAlign w:val="bottom"/>
          </w:tcPr>
          <w:p>
            <w:pPr>
              <w:ind w:left="1360"/>
              <w:spacing w:after="0"/>
              <w:rPr>
                <w:sz w:val="20"/>
                <w:szCs w:val="20"/>
                <w:color w:val="auto"/>
              </w:rPr>
            </w:pPr>
            <w:r>
              <w:rPr>
                <w:rFonts w:ascii="Arial" w:cs="Arial" w:eastAsia="Arial" w:hAnsi="Arial"/>
                <w:sz w:val="18"/>
                <w:szCs w:val="18"/>
                <w:color w:val="auto"/>
                <w:w w:val="86"/>
              </w:rPr>
              <w:t>Tuesday, 22</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November 2022</w:t>
            </w:r>
          </w:p>
        </w:tc>
      </w:tr>
      <w:tr>
        <w:trPr>
          <w:trHeight w:val="324"/>
        </w:trPr>
        <w:tc>
          <w:tcPr>
            <w:tcW w:w="6700" w:type="dxa"/>
            <w:vAlign w:val="bottom"/>
          </w:tcPr>
          <w:p>
            <w:pPr>
              <w:ind w:left="880"/>
              <w:spacing w:after="0"/>
              <w:rPr>
                <w:sz w:val="20"/>
                <w:szCs w:val="20"/>
                <w:color w:val="auto"/>
              </w:rPr>
            </w:pPr>
            <w:r>
              <w:rPr>
                <w:rFonts w:ascii="Arial" w:cs="Arial" w:eastAsia="Arial" w:hAnsi="Arial"/>
                <w:sz w:val="18"/>
                <w:szCs w:val="18"/>
                <w:color w:val="auto"/>
              </w:rPr>
              <w:t>Settlement of New CDIs issued under the Placement</w:t>
            </w:r>
          </w:p>
        </w:tc>
        <w:tc>
          <w:tcPr>
            <w:tcW w:w="2240" w:type="dxa"/>
            <w:vAlign w:val="bottom"/>
          </w:tcPr>
          <w:p>
            <w:pPr>
              <w:ind w:left="1500"/>
              <w:spacing w:after="0"/>
              <w:rPr>
                <w:sz w:val="20"/>
                <w:szCs w:val="20"/>
                <w:color w:val="auto"/>
              </w:rPr>
            </w:pPr>
            <w:r>
              <w:rPr>
                <w:rFonts w:ascii="Arial" w:cs="Arial" w:eastAsia="Arial" w:hAnsi="Arial"/>
                <w:sz w:val="18"/>
                <w:szCs w:val="18"/>
                <w:color w:val="auto"/>
                <w:w w:val="89"/>
              </w:rPr>
              <w:t>Friday, 25</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November 2022</w:t>
            </w:r>
          </w:p>
        </w:tc>
      </w:tr>
      <w:tr>
        <w:trPr>
          <w:trHeight w:val="310"/>
        </w:trPr>
        <w:tc>
          <w:tcPr>
            <w:tcW w:w="6700" w:type="dxa"/>
            <w:vAlign w:val="bottom"/>
          </w:tcPr>
          <w:p>
            <w:pPr>
              <w:ind w:left="880"/>
              <w:spacing w:after="0"/>
              <w:rPr>
                <w:sz w:val="20"/>
                <w:szCs w:val="20"/>
                <w:color w:val="auto"/>
              </w:rPr>
            </w:pPr>
            <w:r>
              <w:rPr>
                <w:rFonts w:ascii="Arial" w:cs="Arial" w:eastAsia="Arial" w:hAnsi="Arial"/>
                <w:sz w:val="18"/>
                <w:szCs w:val="18"/>
                <w:color w:val="auto"/>
              </w:rPr>
              <w:t>Allotment and commencement of trading of New CDIs issued</w:t>
            </w:r>
          </w:p>
        </w:tc>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6700" w:type="dxa"/>
            <w:vAlign w:val="bottom"/>
          </w:tcPr>
          <w:p>
            <w:pPr>
              <w:ind w:left="880"/>
              <w:spacing w:after="0"/>
              <w:rPr>
                <w:sz w:val="20"/>
                <w:szCs w:val="20"/>
                <w:color w:val="auto"/>
              </w:rPr>
            </w:pPr>
            <w:r>
              <w:rPr>
                <w:rFonts w:ascii="Arial" w:cs="Arial" w:eastAsia="Arial" w:hAnsi="Arial"/>
                <w:sz w:val="18"/>
                <w:szCs w:val="18"/>
                <w:color w:val="auto"/>
              </w:rPr>
              <w:t>under the Placement</w:t>
            </w:r>
          </w:p>
        </w:tc>
        <w:tc>
          <w:tcPr>
            <w:tcW w:w="2240" w:type="dxa"/>
            <w:vAlign w:val="bottom"/>
          </w:tcPr>
          <w:p>
            <w:pPr>
              <w:ind w:left="1360"/>
              <w:spacing w:after="0"/>
              <w:rPr>
                <w:sz w:val="20"/>
                <w:szCs w:val="20"/>
                <w:color w:val="auto"/>
              </w:rPr>
            </w:pPr>
            <w:r>
              <w:rPr>
                <w:rFonts w:ascii="Arial" w:cs="Arial" w:eastAsia="Arial" w:hAnsi="Arial"/>
                <w:sz w:val="18"/>
                <w:szCs w:val="18"/>
                <w:color w:val="auto"/>
                <w:w w:val="91"/>
              </w:rPr>
              <w:t>Monday, 28</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November 2022</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686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All dates and times are indicative only and subject to 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 Hulls, Director, Co-Founder and Chief Executive Officer of Life360 authorized this announcement being given to ASX.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Life360</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San Francisco and had had approximately 47.0 million monthly active users (MAU) as of September 30, 2022, located in more than 150 countries. For more information, please visit life360.com.</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Life360, Inc. | ARBN 629 412 942 | 539 Bryant St, Suite 402, San Francisco, CA 94107 | investors.life360.com</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020"/>
          </w:cols>
          <w:pgMar w:left="440" w:top="1323" w:right="43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68655"/>
                    </a:xfrm>
                    <a:prstGeom prst="rect">
                      <a:avLst/>
                    </a:prstGeom>
                    <a:noFill/>
                  </pic:spPr>
                </pic:pic>
              </a:graphicData>
            </a:graphic>
          </wp:anchor>
        </w:drawing>
        <w:t>Contacts</w:t>
      </w:r>
    </w:p>
    <w:p>
      <w:pPr>
        <w:sectPr>
          <w:pgSz w:w="11900" w:h="16838" w:orient="portrait"/>
          <w:cols w:equalWidth="0" w:num="1">
            <w:col w:w="11020"/>
          </w:cols>
          <w:pgMar w:left="440" w:top="1323" w:right="4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For Australian investor inquiries: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3040"/>
        <w:spacing w:after="0"/>
        <w:rPr>
          <w:sz w:val="20"/>
          <w:szCs w:val="20"/>
          <w:color w:val="auto"/>
        </w:rPr>
      </w:pPr>
      <w:r>
        <w:rPr>
          <w:rFonts w:ascii="Arial" w:cs="Arial" w:eastAsia="Arial" w:hAnsi="Arial"/>
          <w:sz w:val="16"/>
          <w:szCs w:val="16"/>
          <w:color w:val="auto"/>
        </w:rPr>
        <w:t>For Australian media inquiries:</w:t>
      </w:r>
    </w:p>
    <w:p>
      <w:pPr>
        <w:spacing w:after="0" w:line="140" w:lineRule="exact"/>
        <w:rPr>
          <w:sz w:val="20"/>
          <w:szCs w:val="20"/>
          <w:color w:val="auto"/>
        </w:rPr>
      </w:pPr>
    </w:p>
    <w:p>
      <w:pPr>
        <w:sectPr>
          <w:pgSz w:w="11900" w:h="16838" w:orient="portrait"/>
          <w:cols w:equalWidth="0" w:num="2">
            <w:col w:w="5020" w:space="720"/>
            <w:col w:w="5280"/>
          </w:cols>
          <w:pgMar w:left="440" w:top="1323" w:right="439" w:bottom="1440" w:gutter="0" w:footer="0" w:header="0"/>
          <w:type w:val="continuous"/>
        </w:sectPr>
      </w:pPr>
    </w:p>
    <w:p>
      <w:pPr>
        <w:spacing w:after="0"/>
        <w:rPr>
          <w:sz w:val="20"/>
          <w:szCs w:val="20"/>
          <w:color w:val="auto"/>
        </w:rPr>
      </w:pPr>
      <w:r>
        <w:rPr>
          <w:rFonts w:ascii="Arial" w:cs="Arial" w:eastAsia="Arial" w:hAnsi="Arial"/>
          <w:sz w:val="16"/>
          <w:szCs w:val="16"/>
          <w:color w:val="auto"/>
        </w:rPr>
        <w:t>Jolanta Masojada, +61 417 261 367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jmasojada@lif360.com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Giles Rafferty, +61 481 467 903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grafferty@firstadvisers.com.au</w:t>
      </w:r>
    </w:p>
    <w:p>
      <w:pPr>
        <w:spacing w:after="0" w:line="114" w:lineRule="exact"/>
        <w:rPr>
          <w:sz w:val="20"/>
          <w:szCs w:val="20"/>
          <w:color w:val="auto"/>
        </w:rPr>
      </w:pPr>
    </w:p>
    <w:p>
      <w:pPr>
        <w:sectPr>
          <w:pgSz w:w="11900" w:h="16838" w:orient="portrait"/>
          <w:cols w:equalWidth="0" w:num="2">
            <w:col w:w="5020" w:space="720"/>
            <w:col w:w="5280"/>
          </w:cols>
          <w:pgMar w:left="440" w:top="1323" w:right="439" w:bottom="1440" w:gutter="0" w:footer="0" w:header="0"/>
          <w:type w:val="continuous"/>
        </w:sectPr>
      </w:pPr>
    </w:p>
    <w:p>
      <w:pPr>
        <w:spacing w:after="0"/>
        <w:rPr>
          <w:sz w:val="20"/>
          <w:szCs w:val="20"/>
          <w:color w:val="auto"/>
        </w:rPr>
      </w:pPr>
      <w:r>
        <w:rPr>
          <w:rFonts w:ascii="Arial" w:cs="Arial" w:eastAsia="Arial" w:hAnsi="Arial"/>
          <w:sz w:val="16"/>
          <w:szCs w:val="16"/>
          <w:color w:val="auto"/>
        </w:rPr>
        <w:t>For U.S.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U.S. media inquiries:</w:t>
      </w:r>
    </w:p>
    <w:p>
      <w:pPr>
        <w:spacing w:after="0" w:line="140" w:lineRule="exact"/>
        <w:rPr>
          <w:sz w:val="20"/>
          <w:szCs w:val="20"/>
          <w:color w:val="auto"/>
        </w:rPr>
      </w:pPr>
    </w:p>
    <w:p>
      <w:pPr>
        <w:sectPr>
          <w:pgSz w:w="11900" w:h="16838" w:orient="portrait"/>
          <w:cols w:equalWidth="0" w:num="2">
            <w:col w:w="5020" w:space="720"/>
            <w:col w:w="5280"/>
          </w:cols>
          <w:pgMar w:left="440" w:top="1323" w:right="439" w:bottom="1440" w:gutter="0" w:footer="0" w:header="0"/>
          <w:type w:val="continuous"/>
        </w:sectPr>
      </w:pPr>
    </w:p>
    <w:p>
      <w:pPr>
        <w:spacing w:after="0"/>
        <w:rPr>
          <w:sz w:val="20"/>
          <w:szCs w:val="20"/>
          <w:color w:val="auto"/>
        </w:rPr>
      </w:pPr>
      <w:r>
        <w:rPr>
          <w:rFonts w:ascii="Arial" w:cs="Arial" w:eastAsia="Arial" w:hAnsi="Arial"/>
          <w:sz w:val="16"/>
          <w:szCs w:val="16"/>
          <w:color w:val="auto"/>
        </w:rPr>
        <w:t>investors@life360.com</w:t>
      </w:r>
    </w:p>
    <w:p>
      <w:pPr>
        <w:spacing w:after="0" w:line="20" w:lineRule="exact"/>
        <w:rPr>
          <w:sz w:val="20"/>
          <w:szCs w:val="20"/>
          <w:color w:val="auto"/>
        </w:rPr>
      </w:pPr>
      <w:r>
        <w:rPr>
          <w:sz w:val="20"/>
          <w:szCs w:val="20"/>
          <w:color w:val="auto"/>
        </w:rPr>
        <w:br w:type="column"/>
      </w:r>
    </w:p>
    <w:p>
      <w:pPr>
        <w:jc w:val="center"/>
        <w:ind w:right="3880"/>
        <w:spacing w:after="0"/>
        <w:rPr>
          <w:sz w:val="20"/>
          <w:szCs w:val="20"/>
          <w:color w:val="auto"/>
        </w:rPr>
      </w:pPr>
      <w:r>
        <w:rPr>
          <w:rFonts w:ascii="Arial" w:cs="Arial" w:eastAsia="Arial" w:hAnsi="Arial"/>
          <w:sz w:val="16"/>
          <w:szCs w:val="16"/>
          <w:color w:val="auto"/>
        </w:rPr>
        <w:t>press@life360.com</w:t>
      </w:r>
    </w:p>
    <w:p>
      <w:pPr>
        <w:spacing w:after="0" w:line="200" w:lineRule="exact"/>
        <w:rPr>
          <w:sz w:val="20"/>
          <w:szCs w:val="20"/>
          <w:color w:val="auto"/>
        </w:rPr>
      </w:pPr>
    </w:p>
    <w:p>
      <w:pPr>
        <w:sectPr>
          <w:pgSz w:w="11900" w:h="16838" w:orient="portrait"/>
          <w:cols w:equalWidth="0" w:num="2">
            <w:col w:w="5020" w:space="720"/>
            <w:col w:w="5280"/>
          </w:cols>
          <w:pgMar w:left="440" w:top="1323" w:right="439" w:bottom="1440" w:gutter="0" w:footer="0" w:header="0"/>
          <w:type w:val="continuous"/>
        </w:sectPr>
      </w:pPr>
    </w:p>
    <w:p>
      <w:pPr>
        <w:spacing w:after="0" w:line="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performance and forward-looking statements</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announcement contains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can be about future events, including statements regarding Life360’s intentions, objectives, plans, expectations, assumptions and beliefs about future events, including Life360’s expectations with respect to the financial and operating performance of its business, its capital position, future growth and subscriber churn.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While due care has been used in the preparation of forecast information, actual results may vary in a materially positive or negative manner. Forward-looking statements are provided as a general guide only and should not be relied on as an indication or guarantee of future performance. They are subject to known and unknown risks, uncertainty, assumptions and contingencies, many of which are outside Life360’s control, and are based on estimates and assumptions that are subject to change and may cause actual results, performance or achievements to differ materially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4"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Life360, Inc. | ARBN 629 412 942 | 539 Bryant St, Suite 402, San Francisco, CA 94107 | investors.life360.com</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020"/>
          </w:cols>
          <w:pgMar w:left="440" w:top="1323" w:right="439" w:bottom="1440" w:gutter="0" w:footer="0" w:header="0"/>
          <w:type w:val="continuous"/>
        </w:sectPr>
      </w:pPr>
    </w:p>
    <w:bookmarkStart w:id="7" w:name="page8"/>
    <w:bookmarkEnd w:id="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68655"/>
                    </a:xfrm>
                    <a:prstGeom prst="rect">
                      <a:avLst/>
                    </a:prstGeom>
                    <a:noFill/>
                  </pic:spPr>
                </pic:pic>
              </a:graphicData>
            </a:graphic>
          </wp:anchor>
        </w:drawing>
        <w:t>those expressed or implied by such statements. Factors that could cause actual results to differ materially from those in the forward-looking statements include risks described in the Company’s ASX filings, Form 10 Registration Statement, as amended, filed with the Securities and Exchange Commission on July 5, 2022, as amended by the Form 10-Q filed with the Securities and Exchange Commission on November 14, 2022, and subsequent reports filed with the Securities and Exchange Commission.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Life360, Inc. | ARBN 629 412 942 | 539 Bryant St, Suite 402, San Francisco, CA 94107 | investors.life360.com</w:t>
      </w:r>
      <w:r>
        <w:rPr>
          <w:sz w:val="20"/>
          <w:szCs w:val="20"/>
          <w:color w:val="auto"/>
        </w:rPr>
        <w:tab/>
      </w:r>
      <w:r>
        <w:rPr>
          <w:rFonts w:ascii="Arial" w:cs="Arial" w:eastAsia="Arial" w:hAnsi="Arial"/>
          <w:sz w:val="15"/>
          <w:szCs w:val="15"/>
          <w:color w:val="auto"/>
        </w:rPr>
        <w:t>Page 5</w:t>
      </w:r>
    </w:p>
    <w:sectPr>
      <w:pgSz w:w="11900" w:h="16838" w:orient="portrait"/>
      <w:cols w:equalWidth="0" w:num="1">
        <w:col w:w="11020"/>
      </w:cols>
      <w:pgMar w:left="440" w:top="132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2022-11-21T17:26:47Z</dcterms:created>
  <dcterms:modified xsi:type="dcterms:W3CDTF">2022-11-21T17:26:47Z</dcterms:modified>
</cp:coreProperties>
</file>