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10189072.xml.htm"/>
      <w:bookmarkStart w:id="1" w:name="kswkform4_171018907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Burke Russell John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LIFE360,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1900 SOUTH NORFOLK STREET, SUITE 310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MATEO</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94403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Life360, Inc.</w:t>
              </w:r>
            </w:hyperlink>
            <w:r>
              <w:rPr/>
              <w:t xml:space="preserve"> [ </w:t>
            </w:r>
            <w:r>
              <w:rPr>
                <w:rFonts w:ascii="Times;serif" w:hAnsi="Times;serif"/>
                <w:color w:val="0000FF"/>
                <w:sz w:val="24"/>
                <w:shd w:fill="FFFFFF" w:val="clear"/>
              </w:rPr>
              <w:t>NONE</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03/07/2024</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98"/>
        <w:gridCol w:w="903"/>
        <w:gridCol w:w="772"/>
        <w:gridCol w:w="600"/>
        <w:gridCol w:w="349"/>
        <w:gridCol w:w="848"/>
        <w:gridCol w:w="456"/>
        <w:gridCol w:w="756"/>
        <w:gridCol w:w="1198"/>
        <w:gridCol w:w="1000"/>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9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9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9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03/07/2024</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r>
              <w:rPr/>
              <w:t xml:space="preserve"> </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4,923</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23.01</w:t>
            </w:r>
            <w:r>
              <w:rPr/>
              <w:t xml:space="preserve"> </w:t>
            </w:r>
          </w:p>
        </w:tc>
        <w:tc>
          <w:tcPr>
            <w:tcW w:w="11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152,706</w:t>
            </w:r>
            <w:r>
              <w:rPr>
                <w:rFonts w:ascii="Times;serif" w:hAnsi="Times;serif"/>
                <w:color w:val="008000"/>
                <w:position w:val="7"/>
                <w:sz w:val="16"/>
                <w:sz w:val="20"/>
                <w:shd w:fill="FFFFFF" w:val="clear"/>
              </w:rPr>
              <w:t>(2)</w:t>
            </w:r>
            <w:r>
              <w:rPr/>
              <w:t xml:space="preserve"> </w:t>
            </w:r>
          </w:p>
        </w:tc>
        <w:tc>
          <w:tcPr>
            <w:tcW w:w="10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is not a sale of shares by the Reporting Person. Instead, this represents shares that have been withheld by the Issuer to satisfy its income tax and withholding and remittance obligations in connection with the vesting and net settlement of previously reported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103,528 restricted stock units, each of which represents a contingent right to receive one share of the Issuer's common stock upon vesting.</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Jay Sood,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03/11/2024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933232" TargetMode="External"/><Relationship Id="rId4" Type="http://schemas.openxmlformats.org/officeDocument/2006/relationships/hyperlink" Target="http://www.sec.gov/cgi-bin/browse-edgar?action=getcompany&amp;CIK=0001581760"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634</Words>
  <Characters>3458</Characters>
  <CharactersWithSpaces>4030</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