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311150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Life360,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13d-l(b)</w:t>
      </w:r>
    </w:p>
    <w:p>
      <w:pPr>
        <w:spacing w:after="0" w:line="252"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13d-l(c)</w:t>
      </w:r>
    </w:p>
    <w:p>
      <w:pPr>
        <w:spacing w:after="0" w:line="219" w:lineRule="exact"/>
        <w:rPr>
          <w:sz w:val="24"/>
          <w:szCs w:val="24"/>
          <w:color w:val="auto"/>
        </w:rPr>
      </w:pPr>
    </w:p>
    <w:p>
      <w:pPr>
        <w:ind w:left="42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13d-l(d)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202565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ind w:left="4"/>
        <w:spacing w:after="0"/>
        <w:tabs>
          <w:tab w:leader="none" w:pos="5084" w:val="left"/>
          <w:tab w:leader="none" w:pos="101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5</w:t>
      </w:r>
    </w:p>
    <w:p>
      <w:pPr>
        <w:spacing w:after="0" w:line="266" w:lineRule="exact"/>
        <w:rPr>
          <w:sz w:val="20"/>
          <w:szCs w:val="20"/>
          <w:color w:val="auto"/>
        </w:rPr>
      </w:pPr>
    </w:p>
    <w:p>
      <w:pPr>
        <w:ind w:left="164"/>
        <w:spacing w:after="0"/>
        <w:tabs>
          <w:tab w:leader="none" w:pos="684" w:val="left"/>
        </w:tabs>
        <w:rPr>
          <w:sz w:val="20"/>
          <w:szCs w:val="20"/>
          <w:color w:val="auto"/>
        </w:rPr>
      </w:pPr>
      <w:r>
        <w:rPr>
          <w:rFonts w:ascii="Arial" w:cs="Arial" w:eastAsia="Arial" w:hAnsi="Arial"/>
          <w:sz w:val="18"/>
          <w:szCs w:val="18"/>
          <w:color w:val="auto"/>
        </w:rPr>
        <w:t>, 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5220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335"/>
                    </a:xfrm>
                    <a:prstGeom prst="rect">
                      <a:avLst/>
                    </a:prstGeom>
                    <a:noFill/>
                  </pic:spPr>
                </pic:pic>
              </a:graphicData>
            </a:graphic>
          </wp:anchor>
        </w:drawing>
      </w:r>
    </w:p>
    <w:p>
      <w:pPr>
        <w:spacing w:after="0" w:line="232" w:lineRule="exact"/>
        <w:rPr>
          <w:sz w:val="20"/>
          <w:szCs w:val="20"/>
          <w:color w:val="auto"/>
        </w:rPr>
      </w:pPr>
    </w:p>
    <w:p>
      <w:pPr>
        <w:ind w:left="704"/>
        <w:spacing w:after="0"/>
        <w:rPr>
          <w:sz w:val="20"/>
          <w:szCs w:val="20"/>
          <w:color w:val="auto"/>
        </w:rPr>
      </w:pPr>
      <w:r>
        <w:rPr>
          <w:rFonts w:ascii="Arial" w:cs="Arial" w:eastAsia="Arial" w:hAnsi="Arial"/>
          <w:sz w:val="18"/>
          <w:szCs w:val="18"/>
          <w:color w:val="auto"/>
        </w:rPr>
        <w:t>Chris Hulls</w:t>
      </w:r>
    </w:p>
    <w:p>
      <w:pPr>
        <w:spacing w:after="0" w:line="36" w:lineRule="exact"/>
        <w:rPr>
          <w:sz w:val="20"/>
          <w:szCs w:val="20"/>
          <w:color w:val="auto"/>
        </w:rPr>
      </w:pPr>
    </w:p>
    <w:p>
      <w:pPr>
        <w:ind w:left="704" w:hanging="457"/>
        <w:spacing w:after="0"/>
        <w:tabs>
          <w:tab w:leader="none" w:pos="70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19" w:lineRule="exact"/>
        <w:rPr>
          <w:sz w:val="20"/>
          <w:szCs w:val="20"/>
          <w:color w:val="auto"/>
        </w:rPr>
      </w:pPr>
    </w:p>
    <w:p>
      <w:pPr>
        <w:ind w:left="704"/>
        <w:spacing w:after="0" w:line="207" w:lineRule="exact"/>
        <w:tabs>
          <w:tab w:leader="none" w:pos="15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76" w:lineRule="exact"/>
        <w:rPr>
          <w:sz w:val="20"/>
          <w:szCs w:val="20"/>
          <w:color w:val="auto"/>
        </w:rPr>
      </w:pPr>
    </w:p>
    <w:p>
      <w:pPr>
        <w:ind w:left="704" w:hanging="457"/>
        <w:spacing w:after="0"/>
        <w:tabs>
          <w:tab w:leader="none" w:pos="70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1" w:lineRule="exact"/>
        <w:rPr>
          <w:rFonts w:ascii="Arial" w:cs="Arial" w:eastAsia="Arial" w:hAnsi="Arial"/>
          <w:sz w:val="18"/>
          <w:szCs w:val="18"/>
          <w:color w:val="auto"/>
        </w:rPr>
      </w:pPr>
    </w:p>
    <w:p>
      <w:pPr>
        <w:ind w:left="704" w:right="7680" w:hanging="457"/>
        <w:spacing w:after="0" w:line="457" w:lineRule="auto"/>
        <w:tabs>
          <w:tab w:leader="none" w:pos="704" w:val="left"/>
        </w:tabs>
        <w:numPr>
          <w:ilvl w:val="0"/>
          <w:numId w:val="4"/>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1" w:lineRule="exact"/>
        <w:rPr>
          <w:rFonts w:ascii="Arial" w:cs="Arial" w:eastAsia="Arial" w:hAnsi="Arial"/>
          <w:sz w:val="16"/>
          <w:szCs w:val="16"/>
          <w:color w:val="auto"/>
        </w:rPr>
      </w:pPr>
    </w:p>
    <w:p>
      <w:pPr>
        <w:ind w:left="1744" w:hanging="435"/>
        <w:spacing w:after="0"/>
        <w:tabs>
          <w:tab w:leader="none" w:pos="1744"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52" w:lineRule="exact"/>
        <w:rPr>
          <w:sz w:val="20"/>
          <w:szCs w:val="20"/>
          <w:color w:val="auto"/>
        </w:rPr>
      </w:pPr>
    </w:p>
    <w:tbl>
      <w:tblPr>
        <w:tblLayout w:type="fixed"/>
        <w:tblInd w:w="244" w:type="dxa"/>
        <w:tblCellMar>
          <w:top w:w="0" w:type="dxa"/>
          <w:left w:w="0" w:type="dxa"/>
          <w:bottom w:w="0" w:type="dxa"/>
          <w:right w:w="0" w:type="dxa"/>
        </w:tblCellMar>
      </w:tblPr>
      <w:tr>
        <w:trPr>
          <w:trHeight w:val="244"/>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bottom w:val="single" w:sz="8" w:color="auto"/>
            </w:tcBorders>
          </w:tcPr>
          <w:p>
            <w:pPr>
              <w:spacing w:after="0"/>
              <w:rPr>
                <w:sz w:val="21"/>
                <w:szCs w:val="21"/>
                <w:color w:val="auto"/>
              </w:rPr>
            </w:pPr>
          </w:p>
        </w:tc>
        <w:tc>
          <w:tcPr>
            <w:tcW w:w="93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4,755,750(1)</w:t>
            </w:r>
          </w:p>
        </w:tc>
        <w:tc>
          <w:tcPr>
            <w:tcW w:w="0" w:type="dxa"/>
            <w:vAlign w:val="bottom"/>
          </w:tcPr>
          <w:p>
            <w:pPr>
              <w:spacing w:after="0"/>
              <w:rPr>
                <w:sz w:val="1"/>
                <w:szCs w:val="1"/>
                <w:color w:val="auto"/>
              </w:rPr>
            </w:pPr>
          </w:p>
        </w:tc>
      </w:tr>
      <w:tr>
        <w:trPr>
          <w:trHeight w:val="236"/>
        </w:trPr>
        <w:tc>
          <w:tcPr>
            <w:tcW w:w="9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32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80" w:type="dxa"/>
            <w:vAlign w:val="bottom"/>
          </w:tcPr>
          <w:p>
            <w:pPr>
              <w:spacing w:after="0"/>
              <w:rPr>
                <w:sz w:val="18"/>
                <w:szCs w:val="18"/>
                <w:color w:val="auto"/>
              </w:rPr>
            </w:pP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960" w:type="dxa"/>
            <w:vAlign w:val="bottom"/>
          </w:tcPr>
          <w:p>
            <w:pPr>
              <w:jc w:val="center"/>
              <w:ind w:right="10"/>
              <w:spacing w:after="0"/>
              <w:rPr>
                <w:sz w:val="20"/>
                <w:szCs w:val="20"/>
                <w:color w:val="auto"/>
              </w:rPr>
            </w:pPr>
            <w:r>
              <w:rPr>
                <w:rFonts w:ascii="Arial" w:cs="Arial" w:eastAsia="Arial" w:hAnsi="Arial"/>
                <w:sz w:val="18"/>
                <w:szCs w:val="18"/>
                <w:color w:val="auto"/>
                <w:w w:val="91"/>
              </w:rPr>
              <w:t>Owned by</w:t>
            </w:r>
          </w:p>
        </w:tc>
        <w:tc>
          <w:tcPr>
            <w:tcW w:w="38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8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32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6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8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6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80" w:type="dxa"/>
            <w:vAlign w:val="bottom"/>
          </w:tcPr>
          <w:p>
            <w:pPr>
              <w:spacing w:after="0"/>
              <w:rPr>
                <w:sz w:val="18"/>
                <w:szCs w:val="18"/>
                <w:color w:val="auto"/>
              </w:rPr>
            </w:pPr>
          </w:p>
        </w:tc>
        <w:tc>
          <w:tcPr>
            <w:tcW w:w="9320" w:type="dxa"/>
            <w:vAlign w:val="bottom"/>
          </w:tcPr>
          <w:p>
            <w:pPr>
              <w:ind w:left="160"/>
              <w:spacing w:after="0"/>
              <w:rPr>
                <w:sz w:val="20"/>
                <w:szCs w:val="20"/>
                <w:color w:val="auto"/>
              </w:rPr>
            </w:pPr>
            <w:r>
              <w:rPr>
                <w:rFonts w:ascii="Arial" w:cs="Arial" w:eastAsia="Arial" w:hAnsi="Arial"/>
                <w:sz w:val="18"/>
                <w:szCs w:val="18"/>
                <w:color w:val="auto"/>
              </w:rPr>
              <w:t>4,755,750(1)</w:t>
            </w:r>
          </w:p>
        </w:tc>
        <w:tc>
          <w:tcPr>
            <w:tcW w:w="0" w:type="dxa"/>
            <w:vAlign w:val="bottom"/>
          </w:tcPr>
          <w:p>
            <w:pPr>
              <w:spacing w:after="0"/>
              <w:rPr>
                <w:sz w:val="1"/>
                <w:szCs w:val="1"/>
                <w:color w:val="auto"/>
              </w:rPr>
            </w:pPr>
          </w:p>
        </w:tc>
      </w:tr>
      <w:tr>
        <w:trPr>
          <w:trHeight w:val="67"/>
        </w:trPr>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38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60" w:type="dxa"/>
            <w:vAlign w:val="bottom"/>
            <w:vMerge w:val="continue"/>
          </w:tcPr>
          <w:p>
            <w:pPr>
              <w:spacing w:after="0"/>
              <w:rPr>
                <w:sz w:val="12"/>
                <w:szCs w:val="12"/>
                <w:color w:val="auto"/>
              </w:rPr>
            </w:pP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32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744"/>
        <w:spacing w:after="0"/>
        <w:rPr>
          <w:sz w:val="20"/>
          <w:szCs w:val="20"/>
          <w:color w:val="auto"/>
        </w:rPr>
      </w:pPr>
      <w:r>
        <w:rPr>
          <w:rFonts w:ascii="Arial" w:cs="Arial" w:eastAsia="Arial" w:hAnsi="Arial"/>
          <w:sz w:val="18"/>
          <w:szCs w:val="18"/>
          <w:color w:val="auto"/>
        </w:rPr>
        <w:t>0</w:t>
      </w:r>
    </w:p>
    <w:p>
      <w:pPr>
        <w:spacing w:after="0" w:line="36" w:lineRule="exact"/>
        <w:rPr>
          <w:sz w:val="20"/>
          <w:szCs w:val="20"/>
          <w:color w:val="auto"/>
        </w:rPr>
      </w:pPr>
    </w:p>
    <w:p>
      <w:pPr>
        <w:ind w:left="664" w:right="5580" w:hanging="417"/>
        <w:spacing w:after="0" w:line="406" w:lineRule="auto"/>
        <w:tabs>
          <w:tab w:leader="none" w:pos="65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4,755,750(1)</w:t>
      </w:r>
    </w:p>
    <w:p>
      <w:pPr>
        <w:spacing w:after="0" w:line="1"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w:t>
      </w:r>
    </w:p>
    <w:p>
      <w:pPr>
        <w:spacing w:after="0" w:line="219" w:lineRule="exact"/>
        <w:rPr>
          <w:rFonts w:ascii="Arial" w:cs="Arial" w:eastAsia="Arial" w:hAnsi="Arial"/>
          <w:sz w:val="18"/>
          <w:szCs w:val="18"/>
          <w:color w:val="auto"/>
        </w:rPr>
      </w:pPr>
    </w:p>
    <w:p>
      <w:pPr>
        <w:ind w:left="66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64" w:hanging="507"/>
        <w:spacing w:after="0"/>
        <w:tabs>
          <w:tab w:leader="none" w:pos="66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04"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26"/>
          <w:szCs w:val="26"/>
          <w:color w:val="auto"/>
          <w:vertAlign w:val="superscript"/>
        </w:rPr>
        <w:t>(2)</w:t>
      </w:r>
    </w:p>
    <w:p>
      <w:pPr>
        <w:ind w:left="644" w:hanging="487"/>
        <w:spacing w:after="0"/>
        <w:tabs>
          <w:tab w:leader="none" w:pos="6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6"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60" w:hanging="424"/>
        <w:spacing w:after="0" w:line="274" w:lineRule="auto"/>
        <w:tabs>
          <w:tab w:leader="none" w:pos="424" w:val="left"/>
        </w:tabs>
        <w:numPr>
          <w:ilvl w:val="0"/>
          <w:numId w:val="6"/>
        </w:numPr>
        <w:rPr>
          <w:rFonts w:ascii="Arial" w:cs="Arial" w:eastAsia="Arial" w:hAnsi="Arial"/>
          <w:sz w:val="17"/>
          <w:szCs w:val="17"/>
          <w:color w:val="auto"/>
        </w:rPr>
      </w:pPr>
      <w:r>
        <w:rPr>
          <w:rFonts w:ascii="Arial" w:cs="Arial" w:eastAsia="Arial" w:hAnsi="Arial"/>
          <w:sz w:val="17"/>
          <w:szCs w:val="17"/>
          <w:color w:val="auto"/>
        </w:rPr>
        <w:t>Represents (i) 1,253,681 shares of common stock held directly by Mr. Hulls; (ii) 1,686,552 shares of common stock underlying 5,059,656 CHESS Depositary Interests (“CDIs”); (iii) 29,960 shares of common stock underlying 89,880 CDIs held indirectly through ICCA Labs, LLC;</w:t>
      </w:r>
    </w:p>
    <w:p>
      <w:pPr>
        <w:ind w:left="424" w:right="80"/>
        <w:spacing w:after="0" w:line="250" w:lineRule="auto"/>
        <w:rPr>
          <w:rFonts w:ascii="Arial" w:cs="Arial" w:eastAsia="Arial" w:hAnsi="Arial"/>
          <w:sz w:val="17"/>
          <w:szCs w:val="17"/>
          <w:color w:val="auto"/>
        </w:rPr>
      </w:pPr>
      <w:r>
        <w:rPr>
          <w:rFonts w:ascii="Arial" w:cs="Arial" w:eastAsia="Arial" w:hAnsi="Arial"/>
          <w:sz w:val="18"/>
          <w:szCs w:val="18"/>
          <w:color w:val="auto"/>
        </w:rPr>
        <w:t>(iv) 1,775,621 shares underlying options to purchase common stock that are exercisable within 60 days of December 31, 2022; and (v) 9,936 shares underlying restricted stock units that will vest within 60 days of December 31, 2022 but will not be issued within 60 days of December 31, 2022 for administrative reasons. Mr. Hulls is a member of ICCA Labs, LLC and the number of shares reported herein represents his proportionate ownership interest in ICCA Labs, LLC.</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Calculated based on 65,239,843 shares of Common Stock issued and outstanding as of December 31, 2022.</w:t>
      </w:r>
    </w:p>
    <w:p>
      <w:pPr>
        <w:sectPr>
          <w:pgSz w:w="11900" w:h="16838" w:orient="portrait"/>
          <w:cols w:equalWidth="0" w:num="1">
            <w:col w:w="11024"/>
          </w:cols>
          <w:pgMar w:left="436" w:top="274" w:right="439" w:bottom="1440" w:gutter="0" w:footer="0" w:header="0"/>
        </w:sectPr>
      </w:pPr>
    </w:p>
    <w:bookmarkStart w:id="2" w:name="page3"/>
    <w:bookmarkEnd w:id="2"/>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N/A</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135" w:lineRule="exact"/>
        <w:rPr>
          <w:sz w:val="20"/>
          <w:szCs w:val="20"/>
          <w:color w:val="auto"/>
        </w:rPr>
      </w:pPr>
    </w:p>
    <w:p>
      <w:pPr>
        <w:ind w:left="980" w:right="8900" w:hanging="552"/>
        <w:spacing w:after="0" w:line="431" w:lineRule="auto"/>
        <w:tabs>
          <w:tab w:leader="none" w:pos="961"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Issuer: Life360, Inc.</w:t>
      </w: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980" w:right="7360"/>
        <w:spacing w:after="0" w:line="277" w:lineRule="auto"/>
        <w:rPr>
          <w:rFonts w:ascii="Arial" w:cs="Arial" w:eastAsia="Arial" w:hAnsi="Arial"/>
          <w:sz w:val="18"/>
          <w:szCs w:val="18"/>
          <w:color w:val="auto"/>
        </w:rPr>
      </w:pPr>
      <w:r>
        <w:rPr>
          <w:rFonts w:ascii="Arial" w:cs="Arial" w:eastAsia="Arial" w:hAnsi="Arial"/>
          <w:sz w:val="18"/>
          <w:szCs w:val="18"/>
          <w:color w:val="auto"/>
        </w:rPr>
        <w:t>1900 South Norfolk Street, Suite 310 San Mateo, CA 94403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35" w:lineRule="exact"/>
        <w:rPr>
          <w:sz w:val="20"/>
          <w:szCs w:val="20"/>
          <w:color w:val="auto"/>
        </w:rPr>
      </w:pPr>
    </w:p>
    <w:p>
      <w:pPr>
        <w:ind w:left="980" w:right="8360" w:hanging="552"/>
        <w:spacing w:after="0" w:line="383" w:lineRule="auto"/>
        <w:tabs>
          <w:tab w:leader="none" w:pos="961"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 Chris Hulls</w:t>
      </w: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The address of the principal business office of the Reporting Person is 1900 South Norfolk Street, Suite 310, San Mateo, CA 94403</w:t>
      </w:r>
    </w:p>
    <w:p>
      <w:pPr>
        <w:spacing w:after="0" w:line="142"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United States of America</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Common Stock, $0.001 par value per share</w:t>
      </w:r>
    </w:p>
    <w:p>
      <w:pPr>
        <w:spacing w:after="0" w:line="130" w:lineRule="exact"/>
        <w:rPr>
          <w:rFonts w:ascii="Arial" w:cs="Arial" w:eastAsia="Arial" w:hAnsi="Arial"/>
          <w:sz w:val="18"/>
          <w:szCs w:val="18"/>
          <w:color w:val="auto"/>
        </w:rPr>
      </w:pPr>
    </w:p>
    <w:p>
      <w:pPr>
        <w:ind w:left="980" w:right="8860" w:hanging="552"/>
        <w:spacing w:after="0" w:line="402" w:lineRule="auto"/>
        <w:tabs>
          <w:tab w:leader="none" w:pos="961"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CUSIP Number: N/A</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08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4 of 5</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See row 9 of the cover page.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See Row 11 of the cover page.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ectPr>
          <w:pgSz w:w="11900" w:h="16838" w:orient="portrait"/>
          <w:cols w:equalWidth="0" w:num="1">
            <w:col w:w="11020"/>
          </w:cols>
          <w:pgMar w:left="440" w:top="274" w:right="439" w:bottom="1440" w:gutter="0" w:footer="0" w:header="0"/>
        </w:sectPr>
      </w:pPr>
    </w:p>
    <w:p>
      <w:pPr>
        <w:spacing w:after="0" w:line="252" w:lineRule="exact"/>
        <w:rPr>
          <w:sz w:val="20"/>
          <w:szCs w:val="20"/>
          <w:color w:val="auto"/>
        </w:rPr>
      </w:pPr>
    </w:p>
    <w:p>
      <w:pPr>
        <w:ind w:left="1200" w:hanging="205"/>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117" w:lineRule="exact"/>
        <w:rPr>
          <w:rFonts w:ascii="Arial" w:cs="Arial" w:eastAsia="Arial" w:hAnsi="Arial"/>
          <w:sz w:val="18"/>
          <w:szCs w:val="18"/>
          <w:color w:val="auto"/>
        </w:rPr>
      </w:pPr>
    </w:p>
    <w:p>
      <w:pPr>
        <w:ind w:left="1260" w:hanging="265"/>
        <w:spacing w:after="0"/>
        <w:tabs>
          <w:tab w:leader="none" w:pos="1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17" w:lineRule="exact"/>
        <w:rPr>
          <w:rFonts w:ascii="Arial" w:cs="Arial" w:eastAsia="Arial" w:hAnsi="Arial"/>
          <w:sz w:val="18"/>
          <w:szCs w:val="18"/>
          <w:color w:val="auto"/>
        </w:rPr>
      </w:pPr>
    </w:p>
    <w:p>
      <w:pPr>
        <w:ind w:left="1300" w:hanging="305"/>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128" w:lineRule="exact"/>
        <w:rPr>
          <w:rFonts w:ascii="Arial" w:cs="Arial" w:eastAsia="Arial" w:hAnsi="Arial"/>
          <w:sz w:val="17"/>
          <w:szCs w:val="17"/>
          <w:color w:val="auto"/>
        </w:rPr>
      </w:pPr>
    </w:p>
    <w:p>
      <w:pPr>
        <w:ind w:left="1300" w:hanging="305"/>
        <w:spacing w:after="0"/>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Row 5 of the cover.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Row 6 of the cover page.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See Row 7 of the cover.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Row 8 of the cover page.</w:t>
      </w:r>
    </w:p>
    <w:p>
      <w:pPr>
        <w:spacing w:after="0" w:line="720" w:lineRule="exact"/>
        <w:rPr>
          <w:sz w:val="20"/>
          <w:szCs w:val="20"/>
          <w:color w:val="auto"/>
        </w:rPr>
      </w:pPr>
    </w:p>
    <w:p>
      <w:pPr>
        <w:sectPr>
          <w:pgSz w:w="11900" w:h="16838" w:orient="portrait"/>
          <w:cols w:equalWidth="0" w:num="2">
            <w:col w:w="5480" w:space="720"/>
            <w:col w:w="4820"/>
          </w:cols>
          <w:pgMar w:left="440" w:top="274" w:right="439" w:bottom="1440" w:gutter="0" w:footer="0" w:header="0"/>
          <w:type w:val="continuous"/>
        </w:sectPr>
      </w:pPr>
    </w:p>
    <w:p>
      <w:pPr>
        <w:ind w:right="200" w:firstLine="4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right="6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type w:val="continuous"/>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 February 14, 2023</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CHRIS HULLS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Chris Hulls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 individual</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lvl w:ilvl="1">
      <w:lvlJc w:val="left"/>
      <w:lvlText w:val="%2."/>
      <w:numFmt w:val="decimal"/>
      <w:start w:val="5"/>
    </w:lvl>
  </w:abstractNum>
  <w:abstractNum w:abstractNumId="4">
    <w:nsid w:val="79E2A9E3"/>
    <w:multiLevelType w:val="hybridMultilevel"/>
    <w:lvl w:ilvl="0">
      <w:lvlJc w:val="left"/>
      <w:lvlText w:val="%1"/>
      <w:numFmt w:val="decimal"/>
      <w:start w:val="1"/>
    </w:lvl>
    <w:lvl w:ilvl="1">
      <w:lvlJc w:val="left"/>
      <w:lvlText w:val="%2."/>
      <w:numFmt w:val="decimal"/>
      <w:start w:val="9"/>
    </w:lvl>
  </w:abstractNum>
  <w:abstractNum w:abstractNumId="5">
    <w:nsid w:val="7545E146"/>
    <w:multiLevelType w:val="hybridMultilevel"/>
    <w:lvl w:ilvl="0">
      <w:lvlJc w:val="left"/>
      <w:lvlText w:val="(%1)"/>
      <w:numFmt w:val="decimal"/>
      <w:start w:val="1"/>
    </w:lvl>
    <w:lvl w:ilvl="1">
      <w:lvlJc w:val="left"/>
      <w:lvlText w:val="%2"/>
      <w:numFmt w:val="decimal"/>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2023-02-14T15:36:38Z</dcterms:created>
  <dcterms:modified xsi:type="dcterms:W3CDTF">2023-02-14T15:36:38Z</dcterms:modified>
</cp:coreProperties>
</file>