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40"/>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March 2, 2026</w:t>
      </w:r>
    </w:p>
    <w:p>
      <w:pPr>
        <w:spacing w:after="0" w:line="3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Registration No. 333-       </w:t>
      </w:r>
    </w:p>
    <w:p>
      <w:pPr>
        <w:spacing w:after="0" w:line="200" w:lineRule="exact"/>
        <w:rPr>
          <w:sz w:val="24"/>
          <w:szCs w:val="24"/>
          <w:color w:val="auto"/>
        </w:rPr>
      </w:pPr>
    </w:p>
    <w:p>
      <w:pPr>
        <w:spacing w:after="0" w:line="2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7"/>
          <w:szCs w:val="17"/>
          <w:b w:val="1"/>
          <w:bCs w:val="1"/>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-708025</wp:posOffset>
            </wp:positionH>
            <wp:positionV relativeFrom="paragraph">
              <wp:posOffset>61595</wp:posOffset>
            </wp:positionV>
            <wp:extent cx="71297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978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86360</wp:posOffset>
            </wp:positionV>
            <wp:extent cx="71297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9780"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5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______________</w:t>
      </w:r>
    </w:p>
    <w:p>
      <w:pPr>
        <w:spacing w:after="0" w:line="25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1"/>
          <w:szCs w:val="31"/>
          <w:b w:val="1"/>
          <w:bCs w:val="1"/>
          <w:color w:val="auto"/>
        </w:rPr>
        <w:t>FORM S-8</w:t>
      </w:r>
    </w:p>
    <w:p>
      <w:pPr>
        <w:spacing w:after="0" w:line="5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1"/>
          <w:szCs w:val="31"/>
          <w:b w:val="1"/>
          <w:bCs w:val="1"/>
          <w:color w:val="auto"/>
        </w:rPr>
        <w:t>REGISTRATION STATEMENT</w:t>
      </w:r>
    </w:p>
    <w:p>
      <w:pPr>
        <w:spacing w:after="0" w:line="4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1"/>
          <w:szCs w:val="21"/>
          <w:b w:val="1"/>
          <w:bCs w:val="1"/>
          <w:color w:val="auto"/>
        </w:rPr>
        <w:t>UNDER</w:t>
      </w:r>
    </w:p>
    <w:p>
      <w:pPr>
        <w:spacing w:after="0" w:line="2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1"/>
          <w:szCs w:val="21"/>
          <w:b w:val="1"/>
          <w:bCs w:val="1"/>
          <w:color w:val="auto"/>
        </w:rPr>
        <w:t>THE SECURITIES ACT OF 1933</w:t>
      </w:r>
    </w:p>
    <w:p>
      <w:pPr>
        <w:spacing w:after="0" w:line="30"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______________</w:t>
      </w:r>
    </w:p>
    <w:p>
      <w:pPr>
        <w:spacing w:after="0" w:line="25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1"/>
          <w:szCs w:val="41"/>
          <w:b w:val="1"/>
          <w:bCs w:val="1"/>
          <w:color w:val="auto"/>
        </w:rPr>
        <w:t>Life360, Inc.</w:t>
      </w:r>
    </w:p>
    <w:p>
      <w:pPr>
        <w:spacing w:after="0" w:line="7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8"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______________</w:t>
      </w:r>
    </w:p>
    <w:p>
      <w:pPr>
        <w:spacing w:after="0" w:line="355" w:lineRule="exact"/>
        <w:rPr>
          <w:sz w:val="24"/>
          <w:szCs w:val="24"/>
          <w:color w:val="auto"/>
        </w:rPr>
      </w:pPr>
    </w:p>
    <w:tbl>
      <w:tblPr>
        <w:tblLayout w:type="fixed"/>
        <w:tblInd w:w="280" w:type="dxa"/>
        <w:tblCellMar>
          <w:top w:w="0" w:type="dxa"/>
          <w:left w:w="0" w:type="dxa"/>
          <w:bottom w:w="0" w:type="dxa"/>
          <w:right w:w="0" w:type="dxa"/>
        </w:tblCellMar>
      </w:tblPr>
      <w:tr>
        <w:trPr>
          <w:trHeight w:val="228"/>
        </w:trPr>
        <w:tc>
          <w:tcPr>
            <w:tcW w:w="6200" w:type="dxa"/>
            <w:vAlign w:val="bottom"/>
          </w:tcPr>
          <w:p>
            <w:pPr>
              <w:jc w:val="center"/>
              <w:ind w:right="3296"/>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26-0197666</w:t>
            </w:r>
          </w:p>
        </w:tc>
      </w:tr>
      <w:tr>
        <w:trPr>
          <w:trHeight w:val="363"/>
        </w:trPr>
        <w:tc>
          <w:tcPr>
            <w:tcW w:w="6200" w:type="dxa"/>
            <w:vAlign w:val="bottom"/>
          </w:tcPr>
          <w:p>
            <w:pPr>
              <w:jc w:val="center"/>
              <w:ind w:right="3276"/>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1480" w:type="dxa"/>
            <w:vAlign w:val="bottom"/>
          </w:tcPr>
          <w:p>
            <w:pPr>
              <w:jc w:val="center"/>
              <w:ind w:left="94"/>
              <w:spacing w:after="0"/>
              <w:rPr>
                <w:sz w:val="20"/>
                <w:szCs w:val="20"/>
                <w:color w:val="auto"/>
              </w:rPr>
            </w:pPr>
            <w:r>
              <w:rPr>
                <w:rFonts w:ascii="Times New Roman" w:cs="Times New Roman" w:eastAsia="Times New Roman" w:hAnsi="Times New Roman"/>
                <w:sz w:val="17"/>
                <w:szCs w:val="17"/>
                <w:color w:val="auto"/>
              </w:rPr>
              <w:t>(I.R.S. Employer</w:t>
            </w:r>
          </w:p>
        </w:tc>
      </w:tr>
      <w:tr>
        <w:trPr>
          <w:trHeight w:val="246"/>
        </w:trPr>
        <w:tc>
          <w:tcPr>
            <w:tcW w:w="6200" w:type="dxa"/>
            <w:vAlign w:val="bottom"/>
          </w:tcPr>
          <w:p>
            <w:pPr>
              <w:jc w:val="center"/>
              <w:ind w:right="3276"/>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1480" w:type="dxa"/>
            <w:vAlign w:val="bottom"/>
          </w:tcPr>
          <w:p>
            <w:pPr>
              <w:jc w:val="center"/>
              <w:ind w:left="94"/>
              <w:spacing w:after="0"/>
              <w:rPr>
                <w:sz w:val="20"/>
                <w:szCs w:val="20"/>
                <w:color w:val="auto"/>
              </w:rPr>
            </w:pPr>
            <w:r>
              <w:rPr>
                <w:rFonts w:ascii="Times New Roman" w:cs="Times New Roman" w:eastAsia="Times New Roman" w:hAnsi="Times New Roman"/>
                <w:sz w:val="17"/>
                <w:szCs w:val="17"/>
                <w:color w:val="auto"/>
              </w:rPr>
              <w:t>Identification No.)</w:t>
            </w:r>
          </w:p>
        </w:tc>
      </w:tr>
      <w:tr>
        <w:trPr>
          <w:trHeight w:val="622"/>
        </w:trPr>
        <w:tc>
          <w:tcPr>
            <w:tcW w:w="6200" w:type="dxa"/>
            <w:vAlign w:val="bottom"/>
          </w:tcPr>
          <w:p>
            <w:pPr>
              <w:jc w:val="center"/>
              <w:ind w:right="3276"/>
              <w:spacing w:after="0"/>
              <w:rPr>
                <w:sz w:val="20"/>
                <w:szCs w:val="20"/>
                <w:color w:val="auto"/>
              </w:rPr>
            </w:pPr>
            <w:r>
              <w:rPr>
                <w:rFonts w:ascii="Times New Roman" w:cs="Times New Roman" w:eastAsia="Times New Roman" w:hAnsi="Times New Roman"/>
                <w:sz w:val="17"/>
                <w:szCs w:val="17"/>
                <w:b w:val="1"/>
                <w:bCs w:val="1"/>
                <w:color w:val="auto"/>
              </w:rPr>
              <w:t>1900 South Norfolk Street, Suite 310</w:t>
            </w:r>
          </w:p>
        </w:tc>
        <w:tc>
          <w:tcPr>
            <w:tcW w:w="148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94403</w:t>
            </w:r>
          </w:p>
        </w:tc>
      </w:tr>
      <w:tr>
        <w:trPr>
          <w:trHeight w:val="246"/>
        </w:trPr>
        <w:tc>
          <w:tcPr>
            <w:tcW w:w="6200" w:type="dxa"/>
            <w:vAlign w:val="bottom"/>
          </w:tcPr>
          <w:p>
            <w:pPr>
              <w:jc w:val="center"/>
              <w:ind w:right="3276"/>
              <w:spacing w:after="0"/>
              <w:rPr>
                <w:sz w:val="20"/>
                <w:szCs w:val="20"/>
                <w:color w:val="auto"/>
              </w:rPr>
            </w:pPr>
            <w:r>
              <w:rPr>
                <w:rFonts w:ascii="Times New Roman" w:cs="Times New Roman" w:eastAsia="Times New Roman" w:hAnsi="Times New Roman"/>
                <w:sz w:val="17"/>
                <w:szCs w:val="17"/>
                <w:b w:val="1"/>
                <w:bCs w:val="1"/>
                <w:color w:val="auto"/>
              </w:rPr>
              <w:t>San Mateo, CA</w:t>
            </w:r>
          </w:p>
        </w:tc>
        <w:tc>
          <w:tcPr>
            <w:tcW w:w="1480" w:type="dxa"/>
            <w:vAlign w:val="bottom"/>
          </w:tcPr>
          <w:p>
            <w:pPr>
              <w:spacing w:after="0"/>
              <w:rPr>
                <w:sz w:val="21"/>
                <w:szCs w:val="21"/>
                <w:color w:val="auto"/>
              </w:rPr>
            </w:pPr>
          </w:p>
        </w:tc>
      </w:tr>
      <w:tr>
        <w:trPr>
          <w:trHeight w:val="363"/>
        </w:trPr>
        <w:tc>
          <w:tcPr>
            <w:tcW w:w="6200" w:type="dxa"/>
            <w:vAlign w:val="bottom"/>
          </w:tcPr>
          <w:p>
            <w:pPr>
              <w:jc w:val="center"/>
              <w:ind w:right="3296"/>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1480" w:type="dxa"/>
            <w:vAlign w:val="bottom"/>
          </w:tcPr>
          <w:p>
            <w:pPr>
              <w:jc w:val="center"/>
              <w:ind w:left="74"/>
              <w:spacing w:after="0"/>
              <w:rPr>
                <w:sz w:val="20"/>
                <w:szCs w:val="20"/>
                <w:color w:val="auto"/>
              </w:rPr>
            </w:pPr>
            <w:r>
              <w:rPr>
                <w:rFonts w:ascii="Times New Roman" w:cs="Times New Roman" w:eastAsia="Times New Roman" w:hAnsi="Times New Roman"/>
                <w:sz w:val="17"/>
                <w:szCs w:val="17"/>
                <w:color w:val="auto"/>
              </w:rPr>
              <w:t>(Zip Code)</w:t>
            </w:r>
          </w:p>
        </w:tc>
      </w:tr>
      <w:tr>
        <w:trPr>
          <w:trHeight w:val="610"/>
        </w:trPr>
        <w:tc>
          <w:tcPr>
            <w:tcW w:w="6200" w:type="dxa"/>
            <w:vAlign w:val="bottom"/>
          </w:tcPr>
          <w:p>
            <w:pPr>
              <w:jc w:val="center"/>
              <w:ind w:left="2156"/>
              <w:spacing w:after="0"/>
              <w:rPr>
                <w:sz w:val="20"/>
                <w:szCs w:val="20"/>
                <w:color w:val="auto"/>
              </w:rPr>
            </w:pPr>
            <w:r>
              <w:rPr>
                <w:rFonts w:ascii="Times New Roman" w:cs="Times New Roman" w:eastAsia="Times New Roman" w:hAnsi="Times New Roman"/>
                <w:sz w:val="17"/>
                <w:szCs w:val="17"/>
                <w:b w:val="1"/>
                <w:bCs w:val="1"/>
                <w:color w:val="auto"/>
              </w:rPr>
              <w:t>Amended and Restated 2011 Stock Plan</w:t>
            </w:r>
          </w:p>
        </w:tc>
        <w:tc>
          <w:tcPr>
            <w:tcW w:w="1480" w:type="dxa"/>
            <w:vAlign w:val="bottom"/>
          </w:tcPr>
          <w:p>
            <w:pPr>
              <w:spacing w:after="0"/>
              <w:rPr>
                <w:sz w:val="24"/>
                <w:szCs w:val="24"/>
                <w:color w:val="auto"/>
              </w:rPr>
            </w:pPr>
          </w:p>
        </w:tc>
      </w:tr>
      <w:tr>
        <w:trPr>
          <w:trHeight w:val="183"/>
        </w:trPr>
        <w:tc>
          <w:tcPr>
            <w:tcW w:w="6200" w:type="dxa"/>
            <w:vAlign w:val="bottom"/>
          </w:tcPr>
          <w:p>
            <w:pPr>
              <w:jc w:val="center"/>
              <w:ind w:left="2176"/>
              <w:spacing w:after="0"/>
              <w:rPr>
                <w:sz w:val="20"/>
                <w:szCs w:val="20"/>
                <w:color w:val="auto"/>
              </w:rPr>
            </w:pPr>
            <w:r>
              <w:rPr>
                <w:rFonts w:ascii="Times New Roman" w:cs="Times New Roman" w:eastAsia="Times New Roman" w:hAnsi="Times New Roman"/>
                <w:sz w:val="14"/>
                <w:szCs w:val="14"/>
                <w:b w:val="1"/>
                <w:bCs w:val="1"/>
                <w:color w:val="auto"/>
                <w:w w:val="98"/>
              </w:rPr>
              <w:t>(Full title of the plan)</w:t>
            </w:r>
          </w:p>
        </w:tc>
        <w:tc>
          <w:tcPr>
            <w:tcW w:w="1480" w:type="dxa"/>
            <w:vAlign w:val="bottom"/>
          </w:tcPr>
          <w:p>
            <w:pPr>
              <w:spacing w:after="0"/>
              <w:rPr>
                <w:sz w:val="15"/>
                <w:szCs w:val="15"/>
                <w:color w:val="auto"/>
              </w:rPr>
            </w:pPr>
          </w:p>
        </w:tc>
      </w:tr>
      <w:tr>
        <w:trPr>
          <w:trHeight w:val="222"/>
        </w:trPr>
        <w:tc>
          <w:tcPr>
            <w:tcW w:w="6200" w:type="dxa"/>
            <w:vAlign w:val="bottom"/>
          </w:tcPr>
          <w:p>
            <w:pPr>
              <w:jc w:val="center"/>
              <w:ind w:left="2156"/>
              <w:spacing w:after="0"/>
              <w:rPr>
                <w:sz w:val="20"/>
                <w:szCs w:val="20"/>
                <w:color w:val="auto"/>
              </w:rPr>
            </w:pPr>
            <w:r>
              <w:rPr>
                <w:rFonts w:ascii="Times New Roman" w:cs="Times New Roman" w:eastAsia="Times New Roman" w:hAnsi="Times New Roman"/>
                <w:sz w:val="17"/>
                <w:szCs w:val="17"/>
                <w:b w:val="1"/>
                <w:bCs w:val="1"/>
                <w:color w:val="auto"/>
              </w:rPr>
              <w:t>Matthew Cullen</w:t>
            </w:r>
          </w:p>
        </w:tc>
        <w:tc>
          <w:tcPr>
            <w:tcW w:w="1480" w:type="dxa"/>
            <w:vAlign w:val="bottom"/>
          </w:tcPr>
          <w:p>
            <w:pPr>
              <w:spacing w:after="0"/>
              <w:rPr>
                <w:sz w:val="19"/>
                <w:szCs w:val="19"/>
                <w:color w:val="auto"/>
              </w:rPr>
            </w:pPr>
          </w:p>
        </w:tc>
      </w:tr>
      <w:tr>
        <w:trPr>
          <w:trHeight w:val="220"/>
        </w:trPr>
        <w:tc>
          <w:tcPr>
            <w:tcW w:w="6200" w:type="dxa"/>
            <w:vAlign w:val="bottom"/>
          </w:tcPr>
          <w:p>
            <w:pPr>
              <w:jc w:val="center"/>
              <w:ind w:left="2156"/>
              <w:spacing w:after="0"/>
              <w:rPr>
                <w:sz w:val="20"/>
                <w:szCs w:val="20"/>
                <w:color w:val="auto"/>
              </w:rPr>
            </w:pPr>
            <w:r>
              <w:rPr>
                <w:rFonts w:ascii="Times New Roman" w:cs="Times New Roman" w:eastAsia="Times New Roman" w:hAnsi="Times New Roman"/>
                <w:sz w:val="17"/>
                <w:szCs w:val="17"/>
                <w:b w:val="1"/>
                <w:bCs w:val="1"/>
                <w:color w:val="auto"/>
              </w:rPr>
              <w:t>General Counsel</w:t>
            </w:r>
          </w:p>
        </w:tc>
        <w:tc>
          <w:tcPr>
            <w:tcW w:w="1480" w:type="dxa"/>
            <w:vAlign w:val="bottom"/>
          </w:tcPr>
          <w:p>
            <w:pPr>
              <w:spacing w:after="0"/>
              <w:rPr>
                <w:sz w:val="19"/>
                <w:szCs w:val="19"/>
                <w:color w:val="auto"/>
              </w:rPr>
            </w:pPr>
          </w:p>
        </w:tc>
      </w:tr>
      <w:tr>
        <w:trPr>
          <w:trHeight w:val="228"/>
        </w:trPr>
        <w:tc>
          <w:tcPr>
            <w:tcW w:w="6200" w:type="dxa"/>
            <w:vAlign w:val="bottom"/>
          </w:tcPr>
          <w:p>
            <w:pPr>
              <w:jc w:val="center"/>
              <w:ind w:left="2156"/>
              <w:spacing w:after="0"/>
              <w:rPr>
                <w:sz w:val="20"/>
                <w:szCs w:val="20"/>
                <w:color w:val="auto"/>
              </w:rPr>
            </w:pPr>
            <w:r>
              <w:rPr>
                <w:rFonts w:ascii="Times New Roman" w:cs="Times New Roman" w:eastAsia="Times New Roman" w:hAnsi="Times New Roman"/>
                <w:sz w:val="17"/>
                <w:szCs w:val="17"/>
                <w:b w:val="1"/>
                <w:bCs w:val="1"/>
                <w:color w:val="auto"/>
              </w:rPr>
              <w:t>Life360, Inc.</w:t>
            </w:r>
          </w:p>
        </w:tc>
        <w:tc>
          <w:tcPr>
            <w:tcW w:w="1480" w:type="dxa"/>
            <w:vAlign w:val="bottom"/>
          </w:tcPr>
          <w:p>
            <w:pPr>
              <w:spacing w:after="0"/>
              <w:rPr>
                <w:sz w:val="19"/>
                <w:szCs w:val="19"/>
                <w:color w:val="auto"/>
              </w:rPr>
            </w:pPr>
          </w:p>
        </w:tc>
      </w:tr>
      <w:tr>
        <w:trPr>
          <w:trHeight w:val="225"/>
        </w:trPr>
        <w:tc>
          <w:tcPr>
            <w:tcW w:w="6200" w:type="dxa"/>
            <w:vAlign w:val="bottom"/>
          </w:tcPr>
          <w:p>
            <w:pPr>
              <w:jc w:val="center"/>
              <w:ind w:left="2156"/>
              <w:spacing w:after="0"/>
              <w:rPr>
                <w:sz w:val="20"/>
                <w:szCs w:val="20"/>
                <w:color w:val="auto"/>
              </w:rPr>
            </w:pPr>
            <w:r>
              <w:rPr>
                <w:rFonts w:ascii="Times New Roman" w:cs="Times New Roman" w:eastAsia="Times New Roman" w:hAnsi="Times New Roman"/>
                <w:sz w:val="17"/>
                <w:szCs w:val="17"/>
                <w:b w:val="1"/>
                <w:bCs w:val="1"/>
                <w:color w:val="auto"/>
              </w:rPr>
              <w:t>1900 South Norfolk Street, Suite 310</w:t>
            </w:r>
          </w:p>
        </w:tc>
        <w:tc>
          <w:tcPr>
            <w:tcW w:w="1480" w:type="dxa"/>
            <w:vAlign w:val="bottom"/>
          </w:tcPr>
          <w:p>
            <w:pPr>
              <w:spacing w:after="0"/>
              <w:rPr>
                <w:sz w:val="19"/>
                <w:szCs w:val="19"/>
                <w:color w:val="auto"/>
              </w:rPr>
            </w:pPr>
          </w:p>
        </w:tc>
      </w:tr>
      <w:tr>
        <w:trPr>
          <w:trHeight w:val="216"/>
        </w:trPr>
        <w:tc>
          <w:tcPr>
            <w:tcW w:w="6200" w:type="dxa"/>
            <w:vAlign w:val="bottom"/>
          </w:tcPr>
          <w:p>
            <w:pPr>
              <w:jc w:val="center"/>
              <w:ind w:left="2156"/>
              <w:spacing w:after="0"/>
              <w:rPr>
                <w:sz w:val="20"/>
                <w:szCs w:val="20"/>
                <w:color w:val="auto"/>
              </w:rPr>
            </w:pPr>
            <w:r>
              <w:rPr>
                <w:rFonts w:ascii="Times New Roman" w:cs="Times New Roman" w:eastAsia="Times New Roman" w:hAnsi="Times New Roman"/>
                <w:sz w:val="17"/>
                <w:szCs w:val="17"/>
                <w:b w:val="1"/>
                <w:bCs w:val="1"/>
                <w:color w:val="auto"/>
              </w:rPr>
              <w:t>San Mateo, California 94107</w:t>
            </w:r>
          </w:p>
        </w:tc>
        <w:tc>
          <w:tcPr>
            <w:tcW w:w="1480" w:type="dxa"/>
            <w:vAlign w:val="bottom"/>
          </w:tcPr>
          <w:p>
            <w:pPr>
              <w:spacing w:after="0"/>
              <w:rPr>
                <w:sz w:val="18"/>
                <w:szCs w:val="18"/>
                <w:color w:val="auto"/>
              </w:rPr>
            </w:pPr>
          </w:p>
        </w:tc>
      </w:tr>
      <w:tr>
        <w:trPr>
          <w:trHeight w:val="183"/>
        </w:trPr>
        <w:tc>
          <w:tcPr>
            <w:tcW w:w="6200" w:type="dxa"/>
            <w:vAlign w:val="bottom"/>
          </w:tcPr>
          <w:p>
            <w:pPr>
              <w:jc w:val="center"/>
              <w:ind w:left="2176"/>
              <w:spacing w:after="0"/>
              <w:rPr>
                <w:sz w:val="20"/>
                <w:szCs w:val="20"/>
                <w:color w:val="auto"/>
              </w:rPr>
            </w:pPr>
            <w:r>
              <w:rPr>
                <w:rFonts w:ascii="Times New Roman" w:cs="Times New Roman" w:eastAsia="Times New Roman" w:hAnsi="Times New Roman"/>
                <w:sz w:val="14"/>
                <w:szCs w:val="14"/>
                <w:b w:val="1"/>
                <w:bCs w:val="1"/>
                <w:color w:val="auto"/>
                <w:w w:val="98"/>
              </w:rPr>
              <w:t>(Name and address of agent for service)</w:t>
            </w:r>
          </w:p>
        </w:tc>
        <w:tc>
          <w:tcPr>
            <w:tcW w:w="1480" w:type="dxa"/>
            <w:vAlign w:val="bottom"/>
          </w:tcPr>
          <w:p>
            <w:pPr>
              <w:spacing w:after="0"/>
              <w:rPr>
                <w:sz w:val="15"/>
                <w:szCs w:val="15"/>
                <w:color w:val="auto"/>
              </w:rPr>
            </w:pPr>
          </w:p>
        </w:tc>
      </w:tr>
      <w:tr>
        <w:trPr>
          <w:trHeight w:val="230"/>
        </w:trPr>
        <w:tc>
          <w:tcPr>
            <w:tcW w:w="6200" w:type="dxa"/>
            <w:vAlign w:val="bottom"/>
          </w:tcPr>
          <w:p>
            <w:pPr>
              <w:jc w:val="center"/>
              <w:ind w:left="2156"/>
              <w:spacing w:after="0"/>
              <w:rPr>
                <w:sz w:val="20"/>
                <w:szCs w:val="20"/>
                <w:color w:val="auto"/>
              </w:rPr>
            </w:pPr>
            <w:r>
              <w:rPr>
                <w:rFonts w:ascii="Times New Roman" w:cs="Times New Roman" w:eastAsia="Times New Roman" w:hAnsi="Times New Roman"/>
                <w:sz w:val="17"/>
                <w:szCs w:val="17"/>
                <w:b w:val="1"/>
                <w:bCs w:val="1"/>
                <w:color w:val="auto"/>
              </w:rPr>
              <w:t>Telephone: (415) 484-5244</w:t>
            </w:r>
          </w:p>
        </w:tc>
        <w:tc>
          <w:tcPr>
            <w:tcW w:w="1480" w:type="dxa"/>
            <w:vAlign w:val="bottom"/>
          </w:tcPr>
          <w:p>
            <w:pPr>
              <w:spacing w:after="0"/>
              <w:rPr>
                <w:sz w:val="20"/>
                <w:szCs w:val="20"/>
                <w:color w:val="auto"/>
              </w:rPr>
            </w:pPr>
          </w:p>
        </w:tc>
      </w:tr>
      <w:tr>
        <w:trPr>
          <w:trHeight w:val="164"/>
        </w:trPr>
        <w:tc>
          <w:tcPr>
            <w:tcW w:w="6200" w:type="dxa"/>
            <w:vAlign w:val="bottom"/>
          </w:tcPr>
          <w:p>
            <w:pPr>
              <w:jc w:val="center"/>
              <w:ind w:left="2156"/>
              <w:spacing w:after="0"/>
              <w:rPr>
                <w:sz w:val="20"/>
                <w:szCs w:val="20"/>
                <w:color w:val="auto"/>
              </w:rPr>
            </w:pPr>
            <w:r>
              <w:rPr>
                <w:rFonts w:ascii="Times New Roman" w:cs="Times New Roman" w:eastAsia="Times New Roman" w:hAnsi="Times New Roman"/>
                <w:sz w:val="14"/>
                <w:szCs w:val="14"/>
                <w:b w:val="1"/>
                <w:bCs w:val="1"/>
                <w:color w:val="auto"/>
                <w:w w:val="98"/>
              </w:rPr>
              <w:t>(Telephone number, including area code, of agent for service)</w:t>
            </w:r>
          </w:p>
        </w:tc>
        <w:tc>
          <w:tcPr>
            <w:tcW w:w="1480" w:type="dxa"/>
            <w:vAlign w:val="bottom"/>
          </w:tcPr>
          <w:p>
            <w:pPr>
              <w:spacing w:after="0"/>
              <w:rPr>
                <w:sz w:val="14"/>
                <w:szCs w:val="14"/>
                <w:color w:val="auto"/>
              </w:rPr>
            </w:pPr>
          </w:p>
        </w:tc>
      </w:tr>
      <w:tr>
        <w:trPr>
          <w:trHeight w:val="240"/>
        </w:trPr>
        <w:tc>
          <w:tcPr>
            <w:tcW w:w="6200" w:type="dxa"/>
            <w:vAlign w:val="bottom"/>
          </w:tcPr>
          <w:p>
            <w:pPr>
              <w:jc w:val="right"/>
              <w:ind w:right="1256"/>
              <w:spacing w:after="0"/>
              <w:rPr>
                <w:sz w:val="20"/>
                <w:szCs w:val="20"/>
                <w:color w:val="auto"/>
              </w:rPr>
            </w:pPr>
            <w:r>
              <w:rPr>
                <w:rFonts w:ascii="Times New Roman" w:cs="Times New Roman" w:eastAsia="Times New Roman" w:hAnsi="Times New Roman"/>
                <w:sz w:val="18"/>
                <w:szCs w:val="18"/>
                <w:b w:val="1"/>
                <w:bCs w:val="1"/>
                <w:color w:val="auto"/>
              </w:rPr>
              <w:t>______________</w:t>
            </w:r>
          </w:p>
        </w:tc>
        <w:tc>
          <w:tcPr>
            <w:tcW w:w="1480" w:type="dxa"/>
            <w:vAlign w:val="bottom"/>
          </w:tcPr>
          <w:p>
            <w:pPr>
              <w:spacing w:after="0"/>
              <w:rPr>
                <w:sz w:val="20"/>
                <w:szCs w:val="20"/>
                <w:color w:val="auto"/>
              </w:rPr>
            </w:pPr>
          </w:p>
        </w:tc>
      </w:tr>
      <w:tr>
        <w:trPr>
          <w:trHeight w:val="470"/>
        </w:trPr>
        <w:tc>
          <w:tcPr>
            <w:tcW w:w="6200" w:type="dxa"/>
            <w:vAlign w:val="bottom"/>
          </w:tcPr>
          <w:p>
            <w:pPr>
              <w:jc w:val="center"/>
              <w:ind w:left="2156"/>
              <w:spacing w:after="0"/>
              <w:rPr>
                <w:sz w:val="20"/>
                <w:szCs w:val="20"/>
                <w:color w:val="auto"/>
              </w:rPr>
            </w:pPr>
            <w:r>
              <w:rPr>
                <w:rFonts w:ascii="Times New Roman" w:cs="Times New Roman" w:eastAsia="Times New Roman" w:hAnsi="Times New Roman"/>
                <w:sz w:val="17"/>
                <w:szCs w:val="17"/>
                <w:b w:val="1"/>
                <w:bCs w:val="1"/>
                <w:i w:val="1"/>
                <w:iCs w:val="1"/>
                <w:color w:val="auto"/>
              </w:rPr>
              <w:t>Copies to:</w:t>
            </w:r>
          </w:p>
        </w:tc>
        <w:tc>
          <w:tcPr>
            <w:tcW w:w="1480" w:type="dxa"/>
            <w:vAlign w:val="bottom"/>
          </w:tcPr>
          <w:p>
            <w:pPr>
              <w:spacing w:after="0"/>
              <w:rPr>
                <w:sz w:val="24"/>
                <w:szCs w:val="24"/>
                <w:color w:val="auto"/>
              </w:rPr>
            </w:pPr>
          </w:p>
        </w:tc>
      </w:tr>
      <w:tr>
        <w:trPr>
          <w:trHeight w:val="220"/>
        </w:trPr>
        <w:tc>
          <w:tcPr>
            <w:tcW w:w="6200" w:type="dxa"/>
            <w:vAlign w:val="bottom"/>
          </w:tcPr>
          <w:p>
            <w:pPr>
              <w:jc w:val="center"/>
              <w:ind w:left="2156"/>
              <w:spacing w:after="0"/>
              <w:rPr>
                <w:sz w:val="20"/>
                <w:szCs w:val="20"/>
                <w:color w:val="auto"/>
              </w:rPr>
            </w:pPr>
            <w:r>
              <w:rPr>
                <w:rFonts w:ascii="Times New Roman" w:cs="Times New Roman" w:eastAsia="Times New Roman" w:hAnsi="Times New Roman"/>
                <w:sz w:val="17"/>
                <w:szCs w:val="17"/>
                <w:b w:val="1"/>
                <w:bCs w:val="1"/>
                <w:color w:val="auto"/>
              </w:rPr>
              <w:t>Natalie Karam Carlton Fleming</w:t>
            </w:r>
          </w:p>
        </w:tc>
        <w:tc>
          <w:tcPr>
            <w:tcW w:w="1480" w:type="dxa"/>
            <w:vAlign w:val="bottom"/>
          </w:tcPr>
          <w:p>
            <w:pPr>
              <w:spacing w:after="0"/>
              <w:rPr>
                <w:sz w:val="19"/>
                <w:szCs w:val="19"/>
                <w:color w:val="auto"/>
              </w:rPr>
            </w:pPr>
          </w:p>
        </w:tc>
      </w:tr>
      <w:tr>
        <w:trPr>
          <w:trHeight w:val="228"/>
        </w:trPr>
        <w:tc>
          <w:tcPr>
            <w:tcW w:w="6200" w:type="dxa"/>
            <w:vAlign w:val="bottom"/>
          </w:tcPr>
          <w:p>
            <w:pPr>
              <w:jc w:val="center"/>
              <w:ind w:left="2156"/>
              <w:spacing w:after="0"/>
              <w:rPr>
                <w:sz w:val="20"/>
                <w:szCs w:val="20"/>
                <w:color w:val="auto"/>
              </w:rPr>
            </w:pPr>
            <w:r>
              <w:rPr>
                <w:rFonts w:ascii="Times New Roman" w:cs="Times New Roman" w:eastAsia="Times New Roman" w:hAnsi="Times New Roman"/>
                <w:sz w:val="17"/>
                <w:szCs w:val="17"/>
                <w:b w:val="1"/>
                <w:bCs w:val="1"/>
                <w:color w:val="auto"/>
              </w:rPr>
              <w:t>Sidley Austin LLP</w:t>
            </w:r>
          </w:p>
        </w:tc>
        <w:tc>
          <w:tcPr>
            <w:tcW w:w="1480" w:type="dxa"/>
            <w:vAlign w:val="bottom"/>
          </w:tcPr>
          <w:p>
            <w:pPr>
              <w:spacing w:after="0"/>
              <w:rPr>
                <w:sz w:val="19"/>
                <w:szCs w:val="19"/>
                <w:color w:val="auto"/>
              </w:rPr>
            </w:pPr>
          </w:p>
        </w:tc>
      </w:tr>
      <w:tr>
        <w:trPr>
          <w:trHeight w:val="225"/>
        </w:trPr>
        <w:tc>
          <w:tcPr>
            <w:tcW w:w="6200" w:type="dxa"/>
            <w:vAlign w:val="bottom"/>
          </w:tcPr>
          <w:p>
            <w:pPr>
              <w:jc w:val="center"/>
              <w:ind w:left="2156"/>
              <w:spacing w:after="0"/>
              <w:rPr>
                <w:sz w:val="20"/>
                <w:szCs w:val="20"/>
                <w:color w:val="auto"/>
              </w:rPr>
            </w:pPr>
            <w:r>
              <w:rPr>
                <w:rFonts w:ascii="Times New Roman" w:cs="Times New Roman" w:eastAsia="Times New Roman" w:hAnsi="Times New Roman"/>
                <w:sz w:val="17"/>
                <w:szCs w:val="17"/>
                <w:b w:val="1"/>
                <w:bCs w:val="1"/>
                <w:color w:val="auto"/>
              </w:rPr>
              <w:t>555 California Street Suite 2000,</w:t>
            </w:r>
          </w:p>
        </w:tc>
        <w:tc>
          <w:tcPr>
            <w:tcW w:w="1480" w:type="dxa"/>
            <w:vAlign w:val="bottom"/>
          </w:tcPr>
          <w:p>
            <w:pPr>
              <w:spacing w:after="0"/>
              <w:rPr>
                <w:sz w:val="19"/>
                <w:szCs w:val="19"/>
                <w:color w:val="auto"/>
              </w:rPr>
            </w:pPr>
          </w:p>
        </w:tc>
      </w:tr>
      <w:tr>
        <w:trPr>
          <w:trHeight w:val="220"/>
        </w:trPr>
        <w:tc>
          <w:tcPr>
            <w:tcW w:w="6200" w:type="dxa"/>
            <w:vAlign w:val="bottom"/>
          </w:tcPr>
          <w:p>
            <w:pPr>
              <w:jc w:val="center"/>
              <w:ind w:left="2156"/>
              <w:spacing w:after="0"/>
              <w:rPr>
                <w:sz w:val="20"/>
                <w:szCs w:val="20"/>
                <w:color w:val="auto"/>
              </w:rPr>
            </w:pPr>
            <w:r>
              <w:rPr>
                <w:rFonts w:ascii="Times New Roman" w:cs="Times New Roman" w:eastAsia="Times New Roman" w:hAnsi="Times New Roman"/>
                <w:sz w:val="17"/>
                <w:szCs w:val="17"/>
                <w:b w:val="1"/>
                <w:bCs w:val="1"/>
                <w:color w:val="auto"/>
              </w:rPr>
              <w:t>San Francisco, CA 94104</w:t>
            </w:r>
          </w:p>
        </w:tc>
        <w:tc>
          <w:tcPr>
            <w:tcW w:w="1480" w:type="dxa"/>
            <w:vAlign w:val="bottom"/>
          </w:tcPr>
          <w:p>
            <w:pPr>
              <w:spacing w:after="0"/>
              <w:rPr>
                <w:sz w:val="19"/>
                <w:szCs w:val="19"/>
                <w:color w:val="auto"/>
              </w:rPr>
            </w:pPr>
          </w:p>
        </w:tc>
      </w:tr>
      <w:tr>
        <w:trPr>
          <w:trHeight w:val="228"/>
        </w:trPr>
        <w:tc>
          <w:tcPr>
            <w:tcW w:w="6200" w:type="dxa"/>
            <w:vAlign w:val="bottom"/>
          </w:tcPr>
          <w:p>
            <w:pPr>
              <w:jc w:val="right"/>
              <w:ind w:right="1356"/>
              <w:spacing w:after="0"/>
              <w:rPr>
                <w:sz w:val="20"/>
                <w:szCs w:val="20"/>
                <w:color w:val="auto"/>
              </w:rPr>
            </w:pPr>
            <w:r>
              <w:rPr>
                <w:rFonts w:ascii="Times New Roman" w:cs="Times New Roman" w:eastAsia="Times New Roman" w:hAnsi="Times New Roman"/>
                <w:sz w:val="17"/>
                <w:szCs w:val="17"/>
                <w:b w:val="1"/>
                <w:bCs w:val="1"/>
                <w:color w:val="auto"/>
              </w:rPr>
              <w:t>(415) 772-1200</w:t>
            </w:r>
          </w:p>
        </w:tc>
        <w:tc>
          <w:tcPr>
            <w:tcW w:w="1480" w:type="dxa"/>
            <w:vAlign w:val="bottom"/>
          </w:tcPr>
          <w:p>
            <w:pPr>
              <w:spacing w:after="0"/>
              <w:rPr>
                <w:sz w:val="19"/>
                <w:szCs w:val="19"/>
                <w:color w:val="auto"/>
              </w:rPr>
            </w:pPr>
          </w:p>
        </w:tc>
      </w:tr>
    </w:tbl>
    <w:p>
      <w:pPr>
        <w:sectPr>
          <w:pgSz w:w="11900" w:h="16838" w:orient="portrait"/>
          <w:cols w:equalWidth="0" w:num="1">
            <w:col w:w="10000"/>
          </w:cols>
          <w:pgMar w:left="1440" w:top="236" w:right="459" w:bottom="1440" w:gutter="0" w:footer="0" w:header="0"/>
        </w:sectPr>
      </w:pPr>
    </w:p>
    <w:bookmarkStart w:id="1" w:name="page2"/>
    <w:bookmarkEnd w:id="1"/>
    <w:p>
      <w:pPr>
        <w:jc w:val="both"/>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90"/>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420" w:type="dxa"/>
            <w:vAlign w:val="bottom"/>
          </w:tcPr>
          <w:p>
            <w:pPr>
              <w:ind w:left="1180"/>
              <w:spacing w:after="0" w:line="171" w:lineRule="exact"/>
              <w:rPr>
                <w:sz w:val="20"/>
                <w:szCs w:val="20"/>
                <w:color w:val="auto"/>
              </w:rPr>
            </w:pPr>
            <w:r>
              <w:rPr>
                <w:rFonts w:ascii="MS PGothic" w:cs="MS PGothic" w:eastAsia="MS PGothic" w:hAnsi="MS PGothic"/>
                <w:sz w:val="17"/>
                <w:szCs w:val="17"/>
                <w:color w:val="auto"/>
              </w:rPr>
              <w:t>☒</w:t>
            </w:r>
          </w:p>
        </w:tc>
        <w:tc>
          <w:tcPr>
            <w:tcW w:w="418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Accelerated filer</w:t>
            </w:r>
          </w:p>
        </w:tc>
        <w:tc>
          <w:tcPr>
            <w:tcW w:w="1340" w:type="dxa"/>
            <w:vAlign w:val="bottom"/>
          </w:tcPr>
          <w:p>
            <w:pPr>
              <w:ind w:left="11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50"/>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420" w:type="dxa"/>
            <w:vAlign w:val="bottom"/>
          </w:tcPr>
          <w:p>
            <w:pPr>
              <w:ind w:left="1180"/>
              <w:spacing w:after="0" w:line="171" w:lineRule="exact"/>
              <w:rPr>
                <w:sz w:val="20"/>
                <w:szCs w:val="20"/>
                <w:color w:val="auto"/>
              </w:rPr>
            </w:pPr>
            <w:r>
              <w:rPr>
                <w:rFonts w:ascii="MS PGothic" w:cs="MS PGothic" w:eastAsia="MS PGothic" w:hAnsi="MS PGothic"/>
                <w:sz w:val="17"/>
                <w:szCs w:val="17"/>
                <w:color w:val="auto"/>
              </w:rPr>
              <w:t>☐</w:t>
            </w:r>
          </w:p>
        </w:tc>
        <w:tc>
          <w:tcPr>
            <w:tcW w:w="418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340" w:type="dxa"/>
            <w:vAlign w:val="bottom"/>
          </w:tcPr>
          <w:p>
            <w:pPr>
              <w:ind w:left="11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50"/>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Emerging growth company</w:t>
            </w:r>
          </w:p>
        </w:tc>
        <w:tc>
          <w:tcPr>
            <w:tcW w:w="2420" w:type="dxa"/>
            <w:vAlign w:val="bottom"/>
          </w:tcPr>
          <w:p>
            <w:pPr>
              <w:ind w:left="1180"/>
              <w:spacing w:after="0" w:line="171" w:lineRule="exact"/>
              <w:rPr>
                <w:sz w:val="20"/>
                <w:szCs w:val="20"/>
                <w:color w:val="auto"/>
              </w:rPr>
            </w:pPr>
            <w:r>
              <w:rPr>
                <w:rFonts w:ascii="MS PGothic" w:cs="MS PGothic" w:eastAsia="MS PGothic" w:hAnsi="MS PGothic"/>
                <w:sz w:val="17"/>
                <w:szCs w:val="17"/>
                <w:color w:val="auto"/>
              </w:rPr>
              <w:t>☐</w:t>
            </w:r>
          </w:p>
        </w:tc>
        <w:tc>
          <w:tcPr>
            <w:tcW w:w="418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331" w:lineRule="exact"/>
        <w:rPr>
          <w:sz w:val="20"/>
          <w:szCs w:val="20"/>
          <w:color w:val="auto"/>
        </w:rPr>
      </w:pPr>
    </w:p>
    <w:p>
      <w:pPr>
        <w:ind w:right="40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165100</wp:posOffset>
            </wp:positionV>
            <wp:extent cx="71297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978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189865</wp:posOffset>
            </wp:positionV>
            <wp:extent cx="71297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9780" cy="8255"/>
                    </a:xfrm>
                    <a:prstGeom prst="rect">
                      <a:avLst/>
                    </a:prstGeom>
                    <a:noFill/>
                  </pic:spPr>
                </pic:pic>
              </a:graphicData>
            </a:graphic>
          </wp:anchor>
        </w:drawing>
      </w:r>
    </w:p>
    <w:p>
      <w:pPr>
        <w:sectPr>
          <w:pgSz w:w="11900" w:h="16838" w:orient="portrait"/>
          <w:cols w:equalWidth="0" w:num="1">
            <w:col w:w="11200"/>
          </w:cols>
          <w:pgMar w:left="320" w:top="1183"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221" w:lineRule="exact"/>
        <w:rPr>
          <w:sz w:val="20"/>
          <w:szCs w:val="20"/>
          <w:color w:val="auto"/>
        </w:rPr>
      </w:pPr>
    </w:p>
    <w:p>
      <w:pPr>
        <w:jc w:val="both"/>
        <w:ind w:firstLine="389"/>
        <w:spacing w:after="0" w:line="259" w:lineRule="auto"/>
        <w:rPr>
          <w:sz w:val="20"/>
          <w:szCs w:val="20"/>
          <w:color w:val="auto"/>
        </w:rPr>
      </w:pPr>
      <w:r>
        <w:rPr>
          <w:rFonts w:ascii="Times New Roman" w:cs="Times New Roman" w:eastAsia="Times New Roman" w:hAnsi="Times New Roman"/>
          <w:sz w:val="17"/>
          <w:szCs w:val="17"/>
          <w:color w:val="auto"/>
        </w:rPr>
        <w:t>Life360, Inc. (the “Registrant”) is filing this registration statement on Form S-8 (the “Registration Statement”) with the Securities and Exchange Commission (the “SEC”) to register the offering of an additional 3,967,955 shares (the “Registered Shares”) of Common Stock, par value $0.001 per share (“Common Stock”), of the Registrant. The 3,967,955 shares of Common Stock being registered herein are issuable pursuant to the Life360, Inc. Amended and Restated 2011 Stock Plan (the “Stock Plan”). These additional shares of Common Stock are securities of the same class as other securities for which previous registration statements on Form S-8 were filed with the SEC on November 22, 2022 (File No. 333-268529), September 27, 2023 (File No. 333-274727), March 1, 2024 (File No. 333-277598), and February 27, 2025 (File No. 333-285348) (the “Prior Registration Statements”). Accordingly, the contents of the Prior Registration Statements are incorporated by reference into this Registration Statement pursuant to General Instruction E of Form S-8. The Registered Shares represent shares of Common Stock reserved for issuance as a result of the operation of the “evergreen” provision in the Stock Plan, which provides that the total number of shares subject to the Stock Plan may be increased on January 1 of each year pursuant to a specified formula.</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REQUIRED IN THE REGISTRATION STATEMENT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Incorporation of Documents by Reference.</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Life360, Inc. (the “Registrant”) hereby incorporates by reference into this Registration Statement the following documents previously filed with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w:t>
      </w:r>
    </w:p>
    <w:p>
      <w:pPr>
        <w:spacing w:after="0" w:line="317" w:lineRule="exact"/>
        <w:rPr>
          <w:sz w:val="20"/>
          <w:szCs w:val="20"/>
          <w:color w:val="auto"/>
        </w:rPr>
      </w:pPr>
    </w:p>
    <w:p>
      <w:pPr>
        <w:ind w:left="1000" w:right="260" w:hanging="435"/>
        <w:spacing w:after="0" w:line="243" w:lineRule="auto"/>
        <w:tabs>
          <w:tab w:leader="none" w:pos="10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Company’s Annual Report on </w:t>
      </w:r>
      <w:hyperlink r:id="rId12">
        <w:r>
          <w:rPr>
            <w:rFonts w:ascii="Times New Roman" w:cs="Times New Roman" w:eastAsia="Times New Roman" w:hAnsi="Times New Roman"/>
            <w:sz w:val="17"/>
            <w:szCs w:val="17"/>
            <w:color w:val="0000FF"/>
          </w:rPr>
          <w:t>Form 10-K</w:t>
        </w:r>
        <w:r>
          <w:rPr>
            <w:rFonts w:ascii="Times New Roman" w:cs="Times New Roman" w:eastAsia="Times New Roman" w:hAnsi="Times New Roman"/>
            <w:sz w:val="17"/>
            <w:szCs w:val="17"/>
            <w:color w:val="auto"/>
          </w:rPr>
          <w:t xml:space="preserve"> </w:t>
        </w:r>
      </w:hyperlink>
      <w:r>
        <w:rPr>
          <w:rFonts w:ascii="Times New Roman" w:cs="Times New Roman" w:eastAsia="Times New Roman" w:hAnsi="Times New Roman"/>
          <w:sz w:val="17"/>
          <w:szCs w:val="17"/>
          <w:color w:val="auto"/>
        </w:rPr>
        <w:t>for the year ended December 31, 2025, filed with the SEC on March 2, 2026 (the “2025 Form 10-K”); and</w:t>
      </w:r>
    </w:p>
    <w:p>
      <w:pPr>
        <w:spacing w:after="0" w:line="70" w:lineRule="exact"/>
        <w:rPr>
          <w:rFonts w:ascii="Times New Roman" w:cs="Times New Roman" w:eastAsia="Times New Roman" w:hAnsi="Times New Roman"/>
          <w:sz w:val="17"/>
          <w:szCs w:val="17"/>
          <w:color w:val="auto"/>
        </w:rPr>
      </w:pPr>
    </w:p>
    <w:p>
      <w:pPr>
        <w:ind w:left="1000" w:right="60" w:hanging="435"/>
        <w:spacing w:after="0" w:line="230" w:lineRule="auto"/>
        <w:tabs>
          <w:tab w:leader="none" w:pos="10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the Registrant’s Common Stock set forth in </w:t>
      </w:r>
      <w:hyperlink r:id="rId13">
        <w:r>
          <w:rPr>
            <w:rFonts w:ascii="Times New Roman" w:cs="Times New Roman" w:eastAsia="Times New Roman" w:hAnsi="Times New Roman"/>
            <w:sz w:val="17"/>
            <w:szCs w:val="17"/>
            <w:color w:val="0000FF"/>
          </w:rPr>
          <w:t>Item 11 to the Registrant’s Amendment No. 2 to Registration Statement on Form 10</w:t>
        </w:r>
      </w:hyperlink>
      <w:r>
        <w:rPr>
          <w:rFonts w:ascii="Times New Roman" w:cs="Times New Roman" w:eastAsia="Times New Roman" w:hAnsi="Times New Roman"/>
          <w:sz w:val="17"/>
          <w:szCs w:val="17"/>
          <w:color w:val="auto"/>
        </w:rPr>
        <w:t>, filed with the Commission on July 5, 2022 pursuant to Section 12(g) of the Exchange Act, including any subsequent amendments or reports filed for the purpose of updating such description, including Exhibit 4.2 of the 2025 Form 10-K.</w:t>
      </w:r>
    </w:p>
    <w:p>
      <w:pPr>
        <w:spacing w:after="0" w:line="111" w:lineRule="exact"/>
        <w:rPr>
          <w:rFonts w:ascii="Times New Roman" w:cs="Times New Roman" w:eastAsia="Times New Roman" w:hAnsi="Times New Roman"/>
          <w:sz w:val="17"/>
          <w:szCs w:val="17"/>
          <w:color w:val="auto"/>
        </w:rPr>
      </w:pPr>
    </w:p>
    <w:p>
      <w:pPr>
        <w:jc w:val="both"/>
        <w:ind w:firstLine="423"/>
        <w:spacing w:after="0" w:line="260" w:lineRule="auto"/>
        <w:rPr>
          <w:sz w:val="20"/>
          <w:szCs w:val="20"/>
          <w:color w:val="auto"/>
        </w:rPr>
      </w:pPr>
      <w:r>
        <w:rPr>
          <w:rFonts w:ascii="Times New Roman" w:cs="Times New Roman" w:eastAsia="Times New Roman" w:hAnsi="Times New Roman"/>
          <w:sz w:val="17"/>
          <w:szCs w:val="17"/>
          <w:color w:val="auto"/>
        </w:rPr>
        <w:t>All documents, reports and definitive proxy or information statements filed by the Registrant with the Commission on or after the date of this Registration Statement pursuant to Sections 13(a), 13(c), 14 and 15(d) of the Securities Exchange Act of 1934, as amended, except as to any portion of any future annual, quarterly or current report or document of the Registrant that is not deemed filed under such provisions, shall be deemed incorporated by reference in this Registration Statement and to be a part hereof from the date of filing such documents until a post-effective amendment of this Registration Statement is filed which indicates that all securities being offered hereby have been sold or which deregisters all securities then remaining unsold; provided, however, that documents or information deemed to have been furnished and not filed in accordance with the rules of the Commission shall not be deemed incorporated by reference into this Registration Statement.</w:t>
      </w:r>
    </w:p>
    <w:p>
      <w:pPr>
        <w:spacing w:after="0" w:line="201" w:lineRule="exact"/>
        <w:rPr>
          <w:rFonts w:ascii="Times New Roman" w:cs="Times New Roman" w:eastAsia="Times New Roman" w:hAnsi="Times New Roman"/>
          <w:sz w:val="17"/>
          <w:szCs w:val="17"/>
          <w:color w:val="auto"/>
        </w:rPr>
      </w:pPr>
    </w:p>
    <w:p>
      <w:pPr>
        <w:jc w:val="both"/>
        <w:ind w:firstLine="423"/>
        <w:spacing w:after="0" w:line="266" w:lineRule="auto"/>
        <w:rPr>
          <w:sz w:val="20"/>
          <w:szCs w:val="20"/>
          <w:color w:val="auto"/>
        </w:rPr>
      </w:pPr>
      <w:r>
        <w:rPr>
          <w:rFonts w:ascii="Times New Roman" w:cs="Times New Roman" w:eastAsia="Times New Roman" w:hAnsi="Times New Roman"/>
          <w:sz w:val="17"/>
          <w:szCs w:val="17"/>
          <w:color w:val="auto"/>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6"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Indemnification of Directors and Officers</w:t>
      </w:r>
      <w:r>
        <w:rPr>
          <w:rFonts w:ascii="Times New Roman" w:cs="Times New Roman" w:eastAsia="Times New Roman" w:hAnsi="Times New Roman"/>
          <w:sz w:val="17"/>
          <w:szCs w:val="17"/>
          <w:color w:val="auto"/>
        </w:rPr>
        <w:t>.</w:t>
      </w:r>
    </w:p>
    <w:p>
      <w:pPr>
        <w:spacing w:after="0" w:line="117" w:lineRule="exact"/>
        <w:rPr>
          <w:rFonts w:ascii="Times New Roman" w:cs="Times New Roman" w:eastAsia="Times New Roman" w:hAnsi="Times New Roman"/>
          <w:sz w:val="17"/>
          <w:szCs w:val="17"/>
          <w:color w:val="auto"/>
        </w:rPr>
      </w:pPr>
    </w:p>
    <w:p>
      <w:pPr>
        <w:jc w:val="both"/>
        <w:ind w:firstLine="466"/>
        <w:spacing w:after="0" w:line="260" w:lineRule="auto"/>
        <w:rPr>
          <w:sz w:val="20"/>
          <w:szCs w:val="20"/>
          <w:color w:val="auto"/>
        </w:rPr>
      </w:pPr>
      <w:r>
        <w:rPr>
          <w:rFonts w:ascii="Times New Roman" w:cs="Times New Roman" w:eastAsia="Times New Roman" w:hAnsi="Times New Roman"/>
          <w:sz w:val="17"/>
          <w:szCs w:val="17"/>
          <w:color w:val="auto"/>
        </w:rPr>
        <w:t>Section 102 of the General Corporation Law of the State of Delaware (the “DGCL”) generally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for (i) with respect to directors and officers, any breach of the director’s or officer’s duty of loyalty to the corporation or its stockholders, (ii) with respect to directors and officers, acts or omissions not in good faith or which involve intentional misconduct or a knowing violation of law, (iii) with respect to directors, payments of unlawful dividends or unlawful stock repurchases or redemptions under Section 174 of the DGCL, (iv) with respect to directors and officers, any transaction from which the director or officer derived an improper personal benefit, or (v) with respect to officers, any action by or in the right of the corporation.</w:t>
      </w:r>
    </w:p>
    <w:p>
      <w:pPr>
        <w:sectPr>
          <w:pgSz w:w="11900" w:h="16838" w:orient="portrait"/>
          <w:cols w:equalWidth="0" w:num="1">
            <w:col w:w="11240"/>
          </w:cols>
          <w:pgMar w:left="320" w:top="896" w:right="339" w:bottom="1440" w:gutter="0" w:footer="0" w:header="0"/>
        </w:sectPr>
      </w:pPr>
    </w:p>
    <w:bookmarkStart w:id="3" w:name="page4"/>
    <w:bookmarkEnd w:id="3"/>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Section 145 of the DGCL provides that a corporation may indemnify any person who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settlement amounts actually and reasonably incurred in connection with specified actions, suits, or proceedings brought by third parties, whether civil, criminal, administrative, or investigative (collectively, “Proceedings”), if the individuals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and actions brought directly by the corporation, except that indemnification only extends to expenses (including attorneys’ fees) actually and reasonably incurred in connection with the defense or settlement of such actions, and the statute requires court approval before there can be any indemnification of such expenses if the person seeking indemnification has been found liable to the corporation.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Additionally, among other things, Section 145 of the DGCL generally:</w:t>
      </w:r>
    </w:p>
    <w:p>
      <w:pPr>
        <w:spacing w:after="0" w:line="115" w:lineRule="exact"/>
        <w:rPr>
          <w:sz w:val="20"/>
          <w:szCs w:val="20"/>
          <w:color w:val="auto"/>
        </w:rPr>
      </w:pPr>
    </w:p>
    <w:p>
      <w:pPr>
        <w:jc w:val="both"/>
        <w:ind w:left="620" w:right="60" w:hanging="306"/>
        <w:spacing w:after="0" w:line="273"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requires indemnification against expenses (including attorneys’ fees) actually and reasonably incurred by directors and officers, and permits the same for other employees and agents, to the extent they have been successful, on the merits or otherwise, in defending an action, suit, or proceeding or in defense of any claim, issue or matter therein (whether brought by a third party or by or on behalf of the corporation);</w:t>
      </w:r>
    </w:p>
    <w:p>
      <w:pPr>
        <w:spacing w:after="0" w:line="6" w:lineRule="exact"/>
        <w:rPr>
          <w:rFonts w:ascii="Times New Roman" w:cs="Times New Roman" w:eastAsia="Times New Roman" w:hAnsi="Times New Roman"/>
          <w:sz w:val="17"/>
          <w:szCs w:val="17"/>
          <w:color w:val="auto"/>
        </w:rPr>
      </w:pPr>
    </w:p>
    <w:p>
      <w:pPr>
        <w:ind w:left="620" w:right="60" w:hanging="306"/>
        <w:spacing w:after="0" w:line="273"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permits a corporation to pay expenses of defense in advance of the final disposition of an action, suit, or proceeding upon receipt (in the case of a current director or officer) of an undertaking to repay any amounts advanced if it is ultimately determined that the director or officer is not entitled to be indemnified;</w:t>
      </w:r>
    </w:p>
    <w:p>
      <w:pPr>
        <w:spacing w:after="0" w:line="6" w:lineRule="exact"/>
        <w:rPr>
          <w:rFonts w:ascii="Times New Roman" w:cs="Times New Roman" w:eastAsia="Times New Roman" w:hAnsi="Times New Roman"/>
          <w:sz w:val="17"/>
          <w:szCs w:val="17"/>
          <w:color w:val="auto"/>
        </w:rPr>
      </w:pPr>
    </w:p>
    <w:p>
      <w:pPr>
        <w:ind w:left="620" w:right="460" w:hanging="306"/>
        <w:spacing w:after="0" w:line="286"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provides that it is not exclusive of other indemnification and advancement of expenses that may be granted by a corporation’s bylaws, disinterested director vote, stockholder vote, agreement, or otherwise; and</w:t>
      </w:r>
    </w:p>
    <w:p>
      <w:pPr>
        <w:ind w:left="620" w:right="20" w:hanging="306"/>
        <w:spacing w:after="0" w:line="263"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provides that a corporation generally has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 of the DGCL.</w:t>
      </w:r>
    </w:p>
    <w:p>
      <w:pPr>
        <w:spacing w:after="0" w:line="172"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Article IX of the Registrant’s Amended and Restated Certificate of Incorporation (the “certificate of incorporation”) contains provisions providing for limitations of director and officer liabilities for monetary damages for breach of fiduciary duties to the fullest extent permitted under the DGCL and indemnification of and advancement of expenses to its directors, officers, employees and agents to the fullest extent permitted under the DGCL and further provides that any amendment to or repeal of such Article IX or the adoption of any provision of the certificate of incorporation inconsistent with Article IX shall not eliminate or reduce the effect of the indemnification or limitation of liability provided in Article IX in respect of any matter occurring, or any action or proceeding accruing or arising or that, but for Article IX, would accrue or arise, prior to such amendment, repeal or adoption of an inconsistent provision.</w:t>
      </w:r>
    </w:p>
    <w:p>
      <w:pPr>
        <w:spacing w:after="0" w:line="175"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7"/>
          <w:szCs w:val="17"/>
          <w:color w:val="auto"/>
        </w:rPr>
        <w:t>Article VI Section 6.1 of the Registrant’s Bylaws (the “bylaws”) requires indemnification for anyone who is or was a director or officer of the Registrant (or who, while serving as a director or officer of the Registrant, is or was serving at the request of the Registrant as a director, officer, employee or agent of another corporation, partnership, joint venture, trust, employee benefit plan or other enterprise) to the fullest extent permitted under the DGCL against expenses (including attorneys’ fees), judgments, fines, settlements and other amounts actually and reasonably incurred in connection with any Proceeding, arising by reason of the fact that such person is or was an agent of the Registrant (collectively, “Expenses”), and Article VI Section 6.2 of the bylaws permits indemnification and advancement of expenses for anyone who is an employee or agent (other than a director and officer) (or who (i) is or was an employee or agent of the Registrant,</w:t>
      </w:r>
    </w:p>
    <w:p>
      <w:pPr>
        <w:spacing w:after="0" w:line="1" w:lineRule="exact"/>
        <w:rPr>
          <w:sz w:val="20"/>
          <w:szCs w:val="20"/>
          <w:color w:val="auto"/>
        </w:rPr>
      </w:pPr>
    </w:p>
    <w:p>
      <w:pPr>
        <w:jc w:val="both"/>
        <w:ind w:firstLine="4"/>
        <w:spacing w:after="0" w:line="259" w:lineRule="auto"/>
        <w:tabs>
          <w:tab w:leader="none" w:pos="26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or was serving at the request of the Registrant as an employee or agent of another corporation, partnership, joint venture, trust or other enterprise, or (iii) was an employee or agent of a corporation which was a predecessor corporation of the Registrant or of another enterprise at the request of such predecessor corporation) against Expenses; provided, however, that the Registrant shall indemnify any such person seeking indemnification in connection with a Proceeding initiated by such person only if the Proceeding was authorized by the board of directors of the Registrant.</w:t>
      </w:r>
    </w:p>
    <w:p>
      <w:pPr>
        <w:sectPr>
          <w:pgSz w:w="11900" w:h="16838" w:orient="portrait"/>
          <w:cols w:equalWidth="0" w:num="1">
            <w:col w:w="11240"/>
          </w:cols>
          <w:pgMar w:left="320" w:top="1105" w:right="339" w:bottom="1440" w:gutter="0" w:footer="0" w:header="0"/>
        </w:sectPr>
      </w:pPr>
    </w:p>
    <w:bookmarkStart w:id="4" w:name="page5"/>
    <w:bookmarkEnd w:id="4"/>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Additionally, directors, officers and employees and agents for whom indemnification is permitted have the right under Article VI Section 6.3 of the bylaws to be paid Expenses incurred by him or her, or on his or her behalf, in defending any such Proceeding in advance of its final disposition upon receipt of an undertaking by or on behalf of the indemnified party to repay such amount, if it is ultimately determined by final judicial decision from which there is no further right to appeal, that the indemnified party is not entitled to be indemnified as authorized in Article VI of the bylaws. The Registrant has entered into form indemnification agreements with its directors and certain of its officers. Among other things, and subject to certain limitations, the form indemnification agreements provide for advancement and indemnification, within the bounds of Delaware law, for losses directors and officers may incur in connection with or arising out of the performance of their duties.</w:t>
      </w:r>
    </w:p>
    <w:p>
      <w:pPr>
        <w:spacing w:after="0" w:line="175" w:lineRule="exact"/>
        <w:rPr>
          <w:sz w:val="20"/>
          <w:szCs w:val="20"/>
          <w:color w:val="auto"/>
        </w:rPr>
      </w:pPr>
    </w:p>
    <w:p>
      <w:pPr>
        <w:jc w:val="both"/>
        <w:ind w:firstLine="311"/>
        <w:spacing w:after="0" w:line="262" w:lineRule="auto"/>
        <w:rPr>
          <w:sz w:val="20"/>
          <w:szCs w:val="20"/>
          <w:color w:val="auto"/>
        </w:rPr>
      </w:pPr>
      <w:r>
        <w:rPr>
          <w:rFonts w:ascii="Times New Roman" w:cs="Times New Roman" w:eastAsia="Times New Roman" w:hAnsi="Times New Roman"/>
          <w:sz w:val="17"/>
          <w:szCs w:val="17"/>
          <w:color w:val="auto"/>
        </w:rPr>
        <w:t>Article VI Section 6.7 of the bylaws also provides that the Registrant may purchase and maintain insurance to protect any person who is or was a director, officer, employee or agent of the Registrant (including to the extent they are or were serving at the request of the Registrant as a director, officer, employee, or agent of another corporation or of a partnership, joint venture, trust, or other enterprise) against any liability asserted against him or her and incurred by him or her in any such capacity, or arising out of his or her status as such, whether or not the Registrant would have the power to indemnify such person against such liability under the DGCL. The Registrant accordingly maintains standard director and officer insurance policies which insure its directors and officers against certain liabilities.</w:t>
      </w:r>
    </w:p>
    <w:p>
      <w:pPr>
        <w:spacing w:after="0" w:line="383" w:lineRule="exact"/>
        <w:rPr>
          <w:sz w:val="20"/>
          <w:szCs w:val="20"/>
          <w:color w:val="auto"/>
        </w:rPr>
      </w:pPr>
    </w:p>
    <w:p>
      <w:pPr>
        <w:jc w:val="both"/>
        <w:ind w:firstLine="311"/>
        <w:spacing w:after="0" w:line="291" w:lineRule="auto"/>
        <w:rPr>
          <w:sz w:val="20"/>
          <w:szCs w:val="20"/>
          <w:color w:val="auto"/>
        </w:rPr>
      </w:pPr>
      <w:r>
        <w:rPr>
          <w:rFonts w:ascii="Times New Roman" w:cs="Times New Roman" w:eastAsia="Times New Roman" w:hAnsi="Times New Roman"/>
          <w:sz w:val="17"/>
          <w:szCs w:val="17"/>
          <w:color w:val="auto"/>
        </w:rPr>
        <w:t>The foregoing summaries are necessarily subject to the complete text of the referenced sections of the DGCL, the certificate of incorporation, the bylaws, and the form indemnification agreements and are qualified in their entirety by reference thereto.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Exhibits.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documents are filed as exhibits to this Registration Statement.</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640" w:type="dxa"/>
            <w:vAlign w:val="bottom"/>
            <w:gridSpan w:val="13"/>
          </w:tcPr>
          <w:p>
            <w:pPr>
              <w:ind w:left="40"/>
              <w:spacing w:after="0"/>
              <w:rPr>
                <w:sz w:val="20"/>
                <w:szCs w:val="20"/>
                <w:color w:val="auto"/>
              </w:rPr>
            </w:pPr>
            <w:r>
              <w:rPr>
                <w:rFonts w:ascii="Times New Roman" w:cs="Times New Roman" w:eastAsia="Times New Roman" w:hAnsi="Times New Roman"/>
                <w:sz w:val="17"/>
                <w:szCs w:val="17"/>
                <w:b w:val="1"/>
                <w:bCs w:val="1"/>
                <w:color w:val="auto"/>
              </w:rPr>
              <w:t>Description of Exhibit</w:t>
            </w:r>
          </w:p>
        </w:tc>
        <w:tc>
          <w:tcPr>
            <w:tcW w:w="0" w:type="dxa"/>
            <w:vAlign w:val="bottom"/>
          </w:tcPr>
          <w:p>
            <w:pPr>
              <w:spacing w:after="0"/>
              <w:rPr>
                <w:sz w:val="1"/>
                <w:szCs w:val="1"/>
                <w:color w:val="auto"/>
              </w:rPr>
            </w:pPr>
          </w:p>
        </w:tc>
      </w:tr>
      <w:tr>
        <w:trPr>
          <w:trHeight w:val="52"/>
        </w:trPr>
        <w:tc>
          <w:tcPr>
            <w:tcW w:w="1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tcBorders>
              <w:bottom w:val="single" w:sz="8" w:color="0000EE"/>
            </w:tcBorders>
            <w:gridSpan w:val="13"/>
          </w:tcPr>
          <w:p>
            <w:pPr>
              <w:spacing w:after="0"/>
              <w:rPr>
                <w:rFonts w:ascii="Times New Roman" w:cs="Times New Roman" w:eastAsia="Times New Roman" w:hAnsi="Times New Roman"/>
                <w:sz w:val="17"/>
                <w:szCs w:val="17"/>
                <w:color w:val="0000EE"/>
              </w:rPr>
            </w:pPr>
            <w:hyperlink r:id="rId14">
              <w:r>
                <w:rPr>
                  <w:rFonts w:ascii="Times New Roman" w:cs="Times New Roman" w:eastAsia="Times New Roman" w:hAnsi="Times New Roman"/>
                  <w:sz w:val="17"/>
                  <w:szCs w:val="17"/>
                  <w:color w:val="0000EE"/>
                </w:rPr>
                <w:t>Amended and Restated Certificate of Incorporation of Life360, Inc. (incorporated by reference to Exhibit 3.1 to the Registrant’s Current</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15"/>
          </w:tcPr>
          <w:p>
            <w:pPr>
              <w:spacing w:after="0"/>
              <w:rPr>
                <w:rFonts w:ascii="Times New Roman" w:cs="Times New Roman" w:eastAsia="Times New Roman" w:hAnsi="Times New Roman"/>
                <w:sz w:val="17"/>
                <w:szCs w:val="17"/>
                <w:color w:val="0000EE"/>
              </w:rPr>
            </w:pPr>
            <w:hyperlink r:id="rId14">
              <w:r>
                <w:rPr>
                  <w:rFonts w:ascii="Times New Roman" w:cs="Times New Roman" w:eastAsia="Times New Roman" w:hAnsi="Times New Roman"/>
                  <w:sz w:val="17"/>
                  <w:szCs w:val="17"/>
                  <w:color w:val="0000EE"/>
                </w:rPr>
                <w:t>Report on Form 8-K (File No. 000-56424, filed with the Commission on June 3, 2024))</w:t>
              </w:r>
            </w:hyperlink>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tcBorders>
              <w:bottom w:val="single" w:sz="8" w:color="0000EE"/>
            </w:tcBorders>
            <w:gridSpan w:val="14"/>
          </w:tcPr>
          <w:p>
            <w:pPr>
              <w:spacing w:after="0"/>
              <w:rPr>
                <w:rFonts w:ascii="Times New Roman" w:cs="Times New Roman" w:eastAsia="Times New Roman" w:hAnsi="Times New Roman"/>
                <w:sz w:val="17"/>
                <w:szCs w:val="17"/>
                <w:color w:val="0000EE"/>
              </w:rPr>
            </w:pPr>
            <w:hyperlink r:id="rId15">
              <w:r>
                <w:rPr>
                  <w:rFonts w:ascii="Times New Roman" w:cs="Times New Roman" w:eastAsia="Times New Roman" w:hAnsi="Times New Roman"/>
                  <w:sz w:val="17"/>
                  <w:szCs w:val="17"/>
                  <w:color w:val="0000EE"/>
                </w:rPr>
                <w:t>Amended and Restated Bylaws of Life360, Inc. (incorporated by reference to Exhibit 3.2 to the Registrant’s Current Report on Form 8-K</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15"/>
          </w:tcPr>
          <w:p>
            <w:pPr>
              <w:spacing w:after="0"/>
              <w:rPr>
                <w:rFonts w:ascii="Times New Roman" w:cs="Times New Roman" w:eastAsia="Times New Roman" w:hAnsi="Times New Roman"/>
                <w:sz w:val="17"/>
                <w:szCs w:val="17"/>
                <w:color w:val="0000EE"/>
              </w:rPr>
            </w:pPr>
            <w:hyperlink r:id="rId15">
              <w:r>
                <w:rPr>
                  <w:rFonts w:ascii="Times New Roman" w:cs="Times New Roman" w:eastAsia="Times New Roman" w:hAnsi="Times New Roman"/>
                  <w:sz w:val="17"/>
                  <w:szCs w:val="17"/>
                  <w:color w:val="0000EE"/>
                </w:rPr>
                <w:t>(File No. 000-56424, filed with the Commission on June 3, 2024))</w:t>
              </w:r>
            </w:hyperlink>
          </w:p>
        </w:tc>
        <w:tc>
          <w:tcPr>
            <w:tcW w:w="0" w:type="dxa"/>
            <w:vAlign w:val="bottom"/>
          </w:tcPr>
          <w:p>
            <w:pPr>
              <w:spacing w:after="0"/>
              <w:rPr>
                <w:sz w:val="1"/>
                <w:szCs w:val="1"/>
                <w:color w:val="auto"/>
              </w:rPr>
            </w:pPr>
          </w:p>
        </w:tc>
      </w:tr>
      <w:tr>
        <w:trPr>
          <w:trHeight w:val="381"/>
        </w:trPr>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rPr>
              <w:t>Opinion of Sidley Austin LLP*</w:t>
            </w:r>
          </w:p>
        </w:tc>
        <w:tc>
          <w:tcPr>
            <w:tcW w:w="2400" w:type="dxa"/>
            <w:vAlign w:val="bottom"/>
            <w:tcBorders>
              <w:top w:val="single" w:sz="8" w:color="0000EE"/>
            </w:tcBorders>
            <w:gridSpan w:val="2"/>
          </w:tcPr>
          <w:p>
            <w:pPr>
              <w:spacing w:after="0"/>
              <w:rPr>
                <w:sz w:val="24"/>
                <w:szCs w:val="24"/>
                <w:color w:val="auto"/>
              </w:rPr>
            </w:pPr>
          </w:p>
        </w:tc>
        <w:tc>
          <w:tcPr>
            <w:tcW w:w="49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Consent of Deloitte &amp; Touche LLP, independent registered public accounting firm*</w:t>
            </w:r>
          </w:p>
        </w:tc>
        <w:tc>
          <w:tcPr>
            <w:tcW w:w="0" w:type="dxa"/>
            <w:vAlign w:val="bottom"/>
          </w:tcPr>
          <w:p>
            <w:pPr>
              <w:spacing w:after="0"/>
              <w:rPr>
                <w:sz w:val="1"/>
                <w:szCs w:val="1"/>
                <w:color w:val="auto"/>
              </w:rPr>
            </w:pPr>
          </w:p>
        </w:tc>
      </w:tr>
      <w:tr>
        <w:trPr>
          <w:trHeight w:val="330"/>
        </w:trPr>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tcBorders>
              <w:top w:val="single" w:sz="8" w:color="0000EE"/>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Consent of Sidley Austin LLP (included in Exhibit 5.1)*</w:t>
            </w:r>
          </w:p>
        </w:tc>
        <w:tc>
          <w:tcPr>
            <w:tcW w:w="1840" w:type="dxa"/>
            <w:vAlign w:val="bottom"/>
            <w:tcBorders>
              <w:top w:val="single" w:sz="8" w:color="0000EE"/>
            </w:tcBorders>
            <w:gridSpan w:val="3"/>
          </w:tcPr>
          <w:p>
            <w:pPr>
              <w:spacing w:after="0"/>
              <w:rPr>
                <w:sz w:val="24"/>
                <w:szCs w:val="24"/>
                <w:color w:val="auto"/>
              </w:rPr>
            </w:pPr>
          </w:p>
        </w:tc>
        <w:tc>
          <w:tcPr>
            <w:tcW w:w="38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Power of Attorney (included in the signature page to this Registration Statement)*</w:t>
            </w: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20" w:type="dxa"/>
            <w:vAlign w:val="bottom"/>
            <w:gridSpan w:val="2"/>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89"/>
              </w:rPr>
              <w:t>  99.1</w:t>
            </w:r>
          </w:p>
        </w:tc>
        <w:tc>
          <w:tcPr>
            <w:tcW w:w="20" w:type="dxa"/>
            <w:vAlign w:val="bottom"/>
          </w:tcPr>
          <w:p>
            <w:pPr>
              <w:spacing w:after="0"/>
              <w:rPr>
                <w:sz w:val="24"/>
                <w:szCs w:val="24"/>
                <w:color w:val="auto"/>
              </w:rPr>
            </w:pPr>
          </w:p>
        </w:tc>
        <w:tc>
          <w:tcPr>
            <w:tcW w:w="9420" w:type="dxa"/>
            <w:vAlign w:val="bottom"/>
            <w:tcBorders>
              <w:bottom w:val="single" w:sz="8" w:color="0000EE"/>
            </w:tcBorders>
            <w:gridSpan w:val="13"/>
          </w:tcPr>
          <w:p>
            <w:pPr>
              <w:spacing w:after="0"/>
              <w:rPr>
                <w:rFonts w:ascii="Times New Roman" w:cs="Times New Roman" w:eastAsia="Times New Roman" w:hAnsi="Times New Roman"/>
                <w:sz w:val="17"/>
                <w:szCs w:val="17"/>
                <w:color w:val="0000EE"/>
              </w:rPr>
            </w:pPr>
            <w:hyperlink r:id="rId16">
              <w:r>
                <w:rPr>
                  <w:rFonts w:ascii="Times New Roman" w:cs="Times New Roman" w:eastAsia="Times New Roman" w:hAnsi="Times New Roman"/>
                  <w:sz w:val="17"/>
                  <w:szCs w:val="17"/>
                  <w:color w:val="0000EE"/>
                </w:rPr>
                <w:t>Amended and Restated 2011 Stock Plan (incorporated by reference to Exhibit 10.2 to the Registrant’s Amendment No. 2 to Registration</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40" w:type="dxa"/>
            <w:vAlign w:val="bottom"/>
            <w:tcBorders>
              <w:bottom w:val="single" w:sz="8" w:color="0000EE"/>
            </w:tcBorders>
            <w:gridSpan w:val="7"/>
          </w:tcPr>
          <w:p>
            <w:pPr>
              <w:spacing w:after="0"/>
              <w:rPr>
                <w:rFonts w:ascii="Times New Roman" w:cs="Times New Roman" w:eastAsia="Times New Roman" w:hAnsi="Times New Roman"/>
                <w:sz w:val="17"/>
                <w:szCs w:val="17"/>
                <w:color w:val="0000EE"/>
              </w:rPr>
            </w:pPr>
            <w:hyperlink r:id="rId16">
              <w:r>
                <w:rPr>
                  <w:rFonts w:ascii="Times New Roman" w:cs="Times New Roman" w:eastAsia="Times New Roman" w:hAnsi="Times New Roman"/>
                  <w:sz w:val="17"/>
                  <w:szCs w:val="17"/>
                  <w:color w:val="0000EE"/>
                </w:rPr>
                <w:t>Statement on Form 10 (File No. 000-56424, filed with the Commission on July 5, 2022))</w:t>
              </w:r>
            </w:hyperlink>
          </w:p>
        </w:tc>
        <w:tc>
          <w:tcPr>
            <w:tcW w:w="34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89"/>
              </w:rPr>
              <w:t>  99.2</w:t>
            </w:r>
          </w:p>
        </w:tc>
        <w:tc>
          <w:tcPr>
            <w:tcW w:w="20" w:type="dxa"/>
            <w:vAlign w:val="bottom"/>
          </w:tcPr>
          <w:p>
            <w:pPr>
              <w:spacing w:after="0"/>
              <w:rPr>
                <w:sz w:val="24"/>
                <w:szCs w:val="24"/>
                <w:color w:val="auto"/>
              </w:rPr>
            </w:pPr>
          </w:p>
        </w:tc>
        <w:tc>
          <w:tcPr>
            <w:tcW w:w="9100" w:type="dxa"/>
            <w:vAlign w:val="bottom"/>
            <w:tcBorders>
              <w:bottom w:val="single" w:sz="8" w:color="0000EE"/>
            </w:tcBorders>
            <w:gridSpan w:val="9"/>
          </w:tcPr>
          <w:p>
            <w:pPr>
              <w:spacing w:after="0"/>
              <w:rPr>
                <w:rFonts w:ascii="Times New Roman" w:cs="Times New Roman" w:eastAsia="Times New Roman" w:hAnsi="Times New Roman"/>
                <w:sz w:val="17"/>
                <w:szCs w:val="17"/>
                <w:color w:val="0000EE"/>
              </w:rPr>
            </w:pPr>
            <w:hyperlink r:id="rId17">
              <w:r>
                <w:rPr>
                  <w:rFonts w:ascii="Times New Roman" w:cs="Times New Roman" w:eastAsia="Times New Roman" w:hAnsi="Times New Roman"/>
                  <w:sz w:val="17"/>
                  <w:szCs w:val="17"/>
                  <w:color w:val="0000EE"/>
                </w:rPr>
                <w:t>Form of Amended and Restated 2011 Stock Plan Restricted Stock Unit Agreement (incorporated by reference to Exhibit 10.3 to the</w:t>
              </w:r>
            </w:hyperlink>
          </w:p>
        </w:tc>
        <w:tc>
          <w:tcPr>
            <w:tcW w:w="4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rPr>
            </w:pPr>
            <w:hyperlink r:id="rId17">
              <w:r>
                <w:rPr>
                  <w:rFonts w:ascii="Times New Roman" w:cs="Times New Roman" w:eastAsia="Times New Roman" w:hAnsi="Times New Roman"/>
                  <w:sz w:val="17"/>
                  <w:szCs w:val="17"/>
                  <w:color w:val="0000EE"/>
                </w:rPr>
                <w:t>Registrant’s Amendment No. 2 to Registration Statement on Form 10 (File No. 000-56424, filed with the Commission on July 5, 2022))</w:t>
              </w:r>
            </w:hyperlink>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89"/>
              </w:rPr>
              <w:t>  99.3</w:t>
            </w:r>
          </w:p>
        </w:tc>
        <w:tc>
          <w:tcPr>
            <w:tcW w:w="20" w:type="dxa"/>
            <w:vAlign w:val="bottom"/>
          </w:tcPr>
          <w:p>
            <w:pPr>
              <w:spacing w:after="0"/>
              <w:rPr>
                <w:sz w:val="24"/>
                <w:szCs w:val="24"/>
                <w:color w:val="auto"/>
              </w:rPr>
            </w:pPr>
          </w:p>
        </w:tc>
        <w:tc>
          <w:tcPr>
            <w:tcW w:w="9560" w:type="dxa"/>
            <w:vAlign w:val="bottom"/>
            <w:gridSpan w:val="15"/>
          </w:tcPr>
          <w:p>
            <w:pPr>
              <w:spacing w:after="0"/>
              <w:rPr>
                <w:rFonts w:ascii="Times New Roman" w:cs="Times New Roman" w:eastAsia="Times New Roman" w:hAnsi="Times New Roman"/>
                <w:sz w:val="17"/>
                <w:szCs w:val="17"/>
                <w:color w:val="0000EE"/>
              </w:rPr>
            </w:pPr>
            <w:hyperlink r:id="rId18">
              <w:r>
                <w:rPr>
                  <w:rFonts w:ascii="Times New Roman" w:cs="Times New Roman" w:eastAsia="Times New Roman" w:hAnsi="Times New Roman"/>
                  <w:sz w:val="17"/>
                  <w:szCs w:val="17"/>
                  <w:color w:val="0000EE"/>
                </w:rPr>
                <w:t>Form of Amended and Restated 2011 Stock Plan Stock Option Agreement (incorporated by reference to Exhibit 10.4 to the Registrant’s</w:t>
              </w:r>
            </w:hyperlink>
          </w:p>
        </w:tc>
        <w:tc>
          <w:tcPr>
            <w:tcW w:w="0" w:type="dxa"/>
            <w:vAlign w:val="bottom"/>
          </w:tcPr>
          <w:p>
            <w:pPr>
              <w:spacing w:after="0"/>
              <w:rPr>
                <w:sz w:val="1"/>
                <w:szCs w:val="1"/>
                <w:color w:val="auto"/>
              </w:rPr>
            </w:pPr>
          </w:p>
        </w:tc>
      </w:tr>
      <w:tr>
        <w:trPr>
          <w:trHeight w:val="200"/>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tcBorders>
              <w:top w:val="single" w:sz="8" w:color="0000EE"/>
            </w:tcBorders>
            <w:gridSpan w:val="11"/>
          </w:tcPr>
          <w:p>
            <w:pPr>
              <w:spacing w:after="0"/>
              <w:rPr>
                <w:rFonts w:ascii="Times New Roman" w:cs="Times New Roman" w:eastAsia="Times New Roman" w:hAnsi="Times New Roman"/>
                <w:sz w:val="17"/>
                <w:szCs w:val="17"/>
                <w:color w:val="0000EE"/>
              </w:rPr>
            </w:pPr>
            <w:hyperlink r:id="rId18">
              <w:r>
                <w:rPr>
                  <w:rFonts w:ascii="Times New Roman" w:cs="Times New Roman" w:eastAsia="Times New Roman" w:hAnsi="Times New Roman"/>
                  <w:sz w:val="17"/>
                  <w:szCs w:val="17"/>
                  <w:color w:val="0000EE"/>
                </w:rPr>
                <w:t>Amendment No. 2 to Registration Statement on Form 10 (File No. 000-56424, filed with the Commission on July 5, 2022))</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20" w:type="dxa"/>
            <w:vAlign w:val="bottom"/>
            <w:gridSpan w:val="2"/>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2840" w:type="dxa"/>
            <w:vAlign w:val="bottom"/>
            <w:gridSpan w:val="4"/>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99.4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00" w:type="dxa"/>
            <w:vAlign w:val="bottom"/>
            <w:gridSpan w:val="10"/>
          </w:tcPr>
          <w:p>
            <w:pPr>
              <w:spacing w:after="0"/>
              <w:rPr>
                <w:rFonts w:ascii="Times New Roman" w:cs="Times New Roman" w:eastAsia="Times New Roman" w:hAnsi="Times New Roman"/>
                <w:sz w:val="17"/>
                <w:szCs w:val="17"/>
                <w:color w:val="0000FF"/>
              </w:rPr>
            </w:pPr>
            <w:hyperlink r:id="rId19">
              <w:r>
                <w:rPr>
                  <w:rFonts w:ascii="Times New Roman" w:cs="Times New Roman" w:eastAsia="Times New Roman" w:hAnsi="Times New Roman"/>
                  <w:sz w:val="17"/>
                  <w:szCs w:val="17"/>
                  <w:color w:val="0000FF"/>
                </w:rPr>
                <w:t>Addendum to Form of Amended and Restated 2011 Stock Plan Restricted Stock Unit Agreement (incorporated by reference to Exhibit</w:t>
              </w:r>
            </w:hyperlink>
          </w:p>
        </w:tc>
        <w:tc>
          <w:tcPr>
            <w:tcW w:w="2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60" w:type="dxa"/>
            <w:vAlign w:val="bottom"/>
            <w:gridSpan w:val="5"/>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00" w:type="dxa"/>
            <w:vAlign w:val="bottom"/>
            <w:gridSpan w:val="10"/>
          </w:tcPr>
          <w:p>
            <w:pPr>
              <w:spacing w:after="0" w:line="149" w:lineRule="exact"/>
              <w:rPr>
                <w:rFonts w:ascii="Times New Roman" w:cs="Times New Roman" w:eastAsia="Times New Roman" w:hAnsi="Times New Roman"/>
                <w:sz w:val="17"/>
                <w:szCs w:val="17"/>
                <w:color w:val="0000FF"/>
                <w:highlight w:val="white"/>
              </w:rPr>
            </w:pPr>
            <w:hyperlink r:id="rId19">
              <w:r>
                <w:rPr>
                  <w:rFonts w:ascii="Times New Roman" w:cs="Times New Roman" w:eastAsia="Times New Roman" w:hAnsi="Times New Roman"/>
                  <w:sz w:val="17"/>
                  <w:szCs w:val="17"/>
                  <w:color w:val="0000FF"/>
                  <w:highlight w:val="white"/>
                </w:rPr>
                <w:t>10.</w:t>
              </w:r>
              <w:r>
                <w:rPr>
                  <w:rFonts w:ascii="Times New Roman" w:cs="Times New Roman" w:eastAsia="Times New Roman" w:hAnsi="Times New Roman"/>
                  <w:sz w:val="17"/>
                  <w:szCs w:val="17"/>
                  <w:u w:val="single" w:color="auto"/>
                  <w:color w:val="0000FF"/>
                  <w:highlight w:val="white"/>
                </w:rPr>
                <w:t>26</w:t>
              </w:r>
              <w:r>
                <w:rPr>
                  <w:rFonts w:ascii="Times New Roman" w:cs="Times New Roman" w:eastAsia="Times New Roman" w:hAnsi="Times New Roman"/>
                  <w:sz w:val="17"/>
                  <w:szCs w:val="17"/>
                  <w:color w:val="0000FF"/>
                  <w:highlight w:val="white"/>
                </w:rPr>
                <w:t xml:space="preserve"> to the Registrant's Annual Report on Form 10-K (File No. 001-42120, filed with the Commission on March 2, 2026))</w:t>
              </w:r>
            </w:hyperlink>
          </w:p>
        </w:tc>
        <w:tc>
          <w:tcPr>
            <w:tcW w:w="2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1310005</wp:posOffset>
            </wp:positionH>
            <wp:positionV relativeFrom="paragraph">
              <wp:posOffset>-114300</wp:posOffset>
            </wp:positionV>
            <wp:extent cx="2146300" cy="123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2146300" cy="123190"/>
                    </a:xfrm>
                    <a:prstGeom prst="rect">
                      <a:avLst/>
                    </a:prstGeom>
                    <a:noFill/>
                  </pic:spPr>
                </pic:pic>
              </a:graphicData>
            </a:graphic>
          </wp:anchor>
        </w:drawing>
      </w:r>
    </w:p>
    <w:p>
      <w:pPr>
        <w:spacing w:after="0" w:line="169" w:lineRule="exact"/>
        <w:rPr>
          <w:sz w:val="20"/>
          <w:szCs w:val="20"/>
          <w:color w:val="auto"/>
        </w:rPr>
      </w:pPr>
    </w:p>
    <w:p>
      <w:pPr>
        <w:ind w:left="1680" w:hanging="1022"/>
        <w:spacing w:after="0"/>
        <w:tabs>
          <w:tab w:leader="none" w:pos="16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Filing Fee Table*</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___________</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Filed herewith.</w:t>
      </w:r>
    </w:p>
    <w:p>
      <w:pPr>
        <w:sectPr>
          <w:pgSz w:w="11900" w:h="16838" w:orient="portrait"/>
          <w:cols w:equalWidth="0" w:num="1">
            <w:col w:w="11240"/>
          </w:cols>
          <w:pgMar w:left="320" w:top="110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7" w:lineRule="exact"/>
        <w:rPr>
          <w:sz w:val="20"/>
          <w:szCs w:val="20"/>
          <w:color w:val="auto"/>
        </w:rPr>
      </w:pPr>
    </w:p>
    <w:p>
      <w:pPr>
        <w:jc w:val="both"/>
        <w:ind w:firstLine="423"/>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Mateo, State of California, on this 2nd day of March, 2026.</w:t>
      </w: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LIFE360, INC.</w:t>
      </w: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 Lauren Antonoff</w:t>
            </w:r>
          </w:p>
        </w:tc>
      </w:tr>
      <w:tr>
        <w:trPr>
          <w:trHeight w:val="52"/>
        </w:trPr>
        <w:tc>
          <w:tcPr>
            <w:tcW w:w="86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980" w:type="dxa"/>
            <w:vAlign w:val="bottom"/>
            <w:tcBorders>
              <w:bottom w:val="single" w:sz="8" w:color="auto"/>
            </w:tcBorders>
          </w:tcPr>
          <w:p>
            <w:pPr>
              <w:spacing w:after="0"/>
              <w:rPr>
                <w:sz w:val="4"/>
                <w:szCs w:val="4"/>
                <w:color w:val="auto"/>
              </w:rPr>
            </w:pPr>
          </w:p>
        </w:tc>
      </w:tr>
      <w:tr>
        <w:trPr>
          <w:trHeight w:val="278"/>
        </w:trPr>
        <w:tc>
          <w:tcPr>
            <w:tcW w:w="86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Lauren Antonoff</w:t>
            </w:r>
          </w:p>
        </w:tc>
      </w:tr>
      <w:tr>
        <w:trPr>
          <w:trHeight w:val="350"/>
        </w:trPr>
        <w:tc>
          <w:tcPr>
            <w:tcW w:w="86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17" w:lineRule="exact"/>
        <w:rPr>
          <w:sz w:val="20"/>
          <w:szCs w:val="20"/>
          <w:color w:val="auto"/>
        </w:rPr>
      </w:pPr>
    </w:p>
    <w:p>
      <w:pPr>
        <w:jc w:val="both"/>
        <w:ind w:firstLine="423"/>
        <w:spacing w:after="0" w:line="259" w:lineRule="auto"/>
        <w:rPr>
          <w:sz w:val="20"/>
          <w:szCs w:val="20"/>
          <w:color w:val="auto"/>
        </w:rPr>
      </w:pPr>
      <w:r>
        <w:rPr>
          <w:rFonts w:ascii="Times New Roman" w:cs="Times New Roman" w:eastAsia="Times New Roman" w:hAnsi="Times New Roman"/>
          <w:sz w:val="17"/>
          <w:szCs w:val="17"/>
          <w:color w:val="auto"/>
        </w:rPr>
        <w:t>KNOW ALL PERSONS BY THESE PRESENTS, that each individual whose signature appears below constitutes and appoints Lauren Antonoff and Russell Burke, and each or any of them, as such individual’s true and lawful attorneys-in-fact and agents with full power of substitution and resubstitution, for such individual and in such individual’s name, place and stead, in any and all capacities, to sign any and all amendments (including post-effective amendments) to this Registration Statement, and to file the same, with all exhibits thereto and all other documents in connection therewith, with the Commission, granting unto said attorneys-in-fact and agents, and each of them, full power and authority to do and perform each and every act and thing requisite and necessary to be done in connection therewith, as fully to all intents and purposes as such individual might or could do in person, hereby ratifying and confirming all that said attorneys-in-fact and agents, or any of them or their substitute or substitutes, may lawfully do or cause to be done by virtue hereof. This Power of Attorney may be signed in one or more counterparts, each of which shall be an original, with the same effect as if the signatures thereto and hereto were upon the same instrument.</w:t>
      </w:r>
    </w:p>
    <w:p>
      <w:pPr>
        <w:spacing w:after="0" w:line="177" w:lineRule="exact"/>
        <w:rPr>
          <w:sz w:val="20"/>
          <w:szCs w:val="20"/>
          <w:color w:val="auto"/>
        </w:rPr>
      </w:pPr>
    </w:p>
    <w:p>
      <w:pPr>
        <w:jc w:val="both"/>
        <w:ind w:firstLine="423"/>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this Registration Statement has been signed by the following persons in the capacities and on the dates indicated: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Name</w:t>
            </w:r>
          </w:p>
        </w:tc>
        <w:tc>
          <w:tcPr>
            <w:tcW w:w="140" w:type="dxa"/>
            <w:vAlign w:val="bottom"/>
          </w:tcPr>
          <w:p>
            <w:pPr>
              <w:spacing w:after="0"/>
              <w:rPr>
                <w:sz w:val="19"/>
                <w:szCs w:val="19"/>
                <w:color w:val="auto"/>
              </w:rPr>
            </w:pPr>
          </w:p>
        </w:tc>
        <w:tc>
          <w:tcPr>
            <w:tcW w:w="44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22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Date</w:t>
            </w:r>
          </w:p>
        </w:tc>
        <w:tc>
          <w:tcPr>
            <w:tcW w:w="0" w:type="dxa"/>
            <w:vAlign w:val="bottom"/>
          </w:tcPr>
          <w:p>
            <w:pPr>
              <w:spacing w:after="0"/>
              <w:rPr>
                <w:sz w:val="1"/>
                <w:szCs w:val="1"/>
                <w:color w:val="auto"/>
              </w:rPr>
            </w:pPr>
          </w:p>
        </w:tc>
      </w:tr>
      <w:tr>
        <w:trPr>
          <w:trHeight w:val="52"/>
        </w:trPr>
        <w:tc>
          <w:tcPr>
            <w:tcW w:w="43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3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08"/>
        </w:trPr>
        <w:tc>
          <w:tcPr>
            <w:tcW w:w="4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Lauren Antonoff</w:t>
            </w:r>
          </w:p>
        </w:tc>
        <w:tc>
          <w:tcPr>
            <w:tcW w:w="140" w:type="dxa"/>
            <w:vAlign w:val="bottom"/>
          </w:tcPr>
          <w:p>
            <w:pPr>
              <w:spacing w:after="0"/>
              <w:rPr>
                <w:sz w:val="24"/>
                <w:szCs w:val="24"/>
                <w:color w:val="auto"/>
              </w:rPr>
            </w:pPr>
          </w:p>
        </w:tc>
        <w:tc>
          <w:tcPr>
            <w:tcW w:w="44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March 2, 2026</w:t>
            </w:r>
          </w:p>
        </w:tc>
        <w:tc>
          <w:tcPr>
            <w:tcW w:w="0" w:type="dxa"/>
            <w:vAlign w:val="bottom"/>
          </w:tcPr>
          <w:p>
            <w:pPr>
              <w:spacing w:after="0"/>
              <w:rPr>
                <w:sz w:val="1"/>
                <w:szCs w:val="1"/>
                <w:color w:val="auto"/>
              </w:rPr>
            </w:pPr>
          </w:p>
        </w:tc>
      </w:tr>
      <w:tr>
        <w:trPr>
          <w:trHeight w:val="72"/>
        </w:trPr>
        <w:tc>
          <w:tcPr>
            <w:tcW w:w="4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80" w:type="dxa"/>
            <w:vAlign w:val="bottom"/>
            <w:gridSpan w:val="2"/>
            <w:vMerge w:val="continue"/>
          </w:tcPr>
          <w:p>
            <w:pPr>
              <w:spacing w:after="0"/>
              <w:rPr>
                <w:sz w:val="6"/>
                <w:szCs w:val="6"/>
                <w:color w:val="auto"/>
              </w:rPr>
            </w:pPr>
          </w:p>
        </w:tc>
        <w:tc>
          <w:tcPr>
            <w:tcW w:w="2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4340" w:type="dxa"/>
            <w:vAlign w:val="bottom"/>
            <w:tcBorders>
              <w:bottom w:val="single" w:sz="8" w:color="auto"/>
            </w:tcBorders>
          </w:tcPr>
          <w:p>
            <w:pPr>
              <w:spacing w:after="0"/>
              <w:rPr>
                <w:sz w:val="4"/>
                <w:szCs w:val="4"/>
                <w:color w:val="auto"/>
              </w:rPr>
            </w:pPr>
          </w:p>
        </w:tc>
        <w:tc>
          <w:tcPr>
            <w:tcW w:w="140" w:type="dxa"/>
            <w:vAlign w:val="bottom"/>
            <w:vMerge w:val="restart"/>
          </w:tcPr>
          <w:p>
            <w:pPr>
              <w:spacing w:after="0"/>
              <w:rPr>
                <w:sz w:val="4"/>
                <w:szCs w:val="4"/>
                <w:color w:val="auto"/>
              </w:rPr>
            </w:pPr>
          </w:p>
        </w:tc>
        <w:tc>
          <w:tcPr>
            <w:tcW w:w="44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43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Lauren Antonoff</w:t>
            </w:r>
          </w:p>
        </w:tc>
        <w:tc>
          <w:tcPr>
            <w:tcW w:w="140" w:type="dxa"/>
            <w:vAlign w:val="bottom"/>
            <w:vMerge w:val="continue"/>
          </w:tcPr>
          <w:p>
            <w:pPr>
              <w:spacing w:after="0"/>
              <w:rPr>
                <w:sz w:val="12"/>
                <w:szCs w:val="12"/>
                <w:color w:val="auto"/>
              </w:rPr>
            </w:pPr>
          </w:p>
        </w:tc>
        <w:tc>
          <w:tcPr>
            <w:tcW w:w="4480" w:type="dxa"/>
            <w:vAlign w:val="bottom"/>
            <w:gridSpan w:val="2"/>
            <w:vMerge w:val="continue"/>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3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6"/>
        </w:trPr>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Russell Burke</w:t>
            </w:r>
          </w:p>
        </w:tc>
        <w:tc>
          <w:tcPr>
            <w:tcW w:w="140" w:type="dxa"/>
            <w:vAlign w:val="bottom"/>
          </w:tcPr>
          <w:p>
            <w:pPr>
              <w:spacing w:after="0"/>
              <w:rPr>
                <w:sz w:val="24"/>
                <w:szCs w:val="24"/>
                <w:color w:val="auto"/>
              </w:rPr>
            </w:pPr>
          </w:p>
        </w:tc>
        <w:tc>
          <w:tcPr>
            <w:tcW w:w="44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Chief Financial Officer</w:t>
            </w:r>
          </w:p>
        </w:tc>
        <w:tc>
          <w:tcPr>
            <w:tcW w:w="22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 2026</w:t>
            </w:r>
          </w:p>
        </w:tc>
        <w:tc>
          <w:tcPr>
            <w:tcW w:w="0" w:type="dxa"/>
            <w:vAlign w:val="bottom"/>
          </w:tcPr>
          <w:p>
            <w:pPr>
              <w:spacing w:after="0"/>
              <w:rPr>
                <w:sz w:val="1"/>
                <w:szCs w:val="1"/>
                <w:color w:val="auto"/>
              </w:rPr>
            </w:pPr>
          </w:p>
        </w:tc>
      </w:tr>
      <w:tr>
        <w:trPr>
          <w:trHeight w:val="200"/>
        </w:trPr>
        <w:tc>
          <w:tcPr>
            <w:tcW w:w="43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Russell Burke</w:t>
            </w:r>
          </w:p>
        </w:tc>
        <w:tc>
          <w:tcPr>
            <w:tcW w:w="140" w:type="dxa"/>
            <w:vAlign w:val="bottom"/>
          </w:tcPr>
          <w:p>
            <w:pPr>
              <w:spacing w:after="0"/>
              <w:rPr>
                <w:sz w:val="17"/>
                <w:szCs w:val="17"/>
                <w:color w:val="auto"/>
              </w:rPr>
            </w:pPr>
          </w:p>
        </w:tc>
        <w:tc>
          <w:tcPr>
            <w:tcW w:w="44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
        </w:trPr>
        <w:tc>
          <w:tcPr>
            <w:tcW w:w="43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4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4"/>
        </w:trPr>
        <w:tc>
          <w:tcPr>
            <w:tcW w:w="4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Chris Hulls</w:t>
            </w:r>
          </w:p>
        </w:tc>
        <w:tc>
          <w:tcPr>
            <w:tcW w:w="140" w:type="dxa"/>
            <w:vAlign w:val="bottom"/>
          </w:tcPr>
          <w:p>
            <w:pPr>
              <w:spacing w:after="0"/>
              <w:rPr>
                <w:sz w:val="24"/>
                <w:szCs w:val="24"/>
                <w:color w:val="auto"/>
              </w:rPr>
            </w:pPr>
          </w:p>
        </w:tc>
        <w:tc>
          <w:tcPr>
            <w:tcW w:w="44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Executive Chairman of the Board and 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 2026</w:t>
            </w:r>
          </w:p>
        </w:tc>
        <w:tc>
          <w:tcPr>
            <w:tcW w:w="0" w:type="dxa"/>
            <w:vAlign w:val="bottom"/>
          </w:tcPr>
          <w:p>
            <w:pPr>
              <w:spacing w:after="0"/>
              <w:rPr>
                <w:sz w:val="1"/>
                <w:szCs w:val="1"/>
                <w:color w:val="auto"/>
              </w:rPr>
            </w:pPr>
          </w:p>
        </w:tc>
      </w:tr>
      <w:tr>
        <w:trPr>
          <w:trHeight w:val="26"/>
        </w:trPr>
        <w:tc>
          <w:tcPr>
            <w:tcW w:w="4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4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Chris Hulls</w:t>
            </w:r>
          </w:p>
        </w:tc>
        <w:tc>
          <w:tcPr>
            <w:tcW w:w="14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2"/>
        </w:trPr>
        <w:tc>
          <w:tcPr>
            <w:tcW w:w="4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Mark Goines</w:t>
            </w:r>
          </w:p>
        </w:tc>
        <w:tc>
          <w:tcPr>
            <w:tcW w:w="140" w:type="dxa"/>
            <w:vAlign w:val="bottom"/>
          </w:tcPr>
          <w:p>
            <w:pPr>
              <w:spacing w:after="0"/>
              <w:rPr>
                <w:sz w:val="24"/>
                <w:szCs w:val="24"/>
                <w:color w:val="auto"/>
              </w:rPr>
            </w:pPr>
          </w:p>
        </w:tc>
        <w:tc>
          <w:tcPr>
            <w:tcW w:w="44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auto"/>
              </w:rPr>
              <w:t>Lead Independent Director</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March 2, 2026</w:t>
            </w:r>
          </w:p>
        </w:tc>
        <w:tc>
          <w:tcPr>
            <w:tcW w:w="0" w:type="dxa"/>
            <w:vAlign w:val="bottom"/>
          </w:tcPr>
          <w:p>
            <w:pPr>
              <w:spacing w:after="0"/>
              <w:rPr>
                <w:sz w:val="1"/>
                <w:szCs w:val="1"/>
                <w:color w:val="auto"/>
              </w:rPr>
            </w:pPr>
          </w:p>
        </w:tc>
      </w:tr>
      <w:tr>
        <w:trPr>
          <w:trHeight w:val="78"/>
        </w:trPr>
        <w:tc>
          <w:tcPr>
            <w:tcW w:w="4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80" w:type="dxa"/>
            <w:vAlign w:val="bottom"/>
            <w:gridSpan w:val="2"/>
            <w:vMerge w:val="continue"/>
          </w:tcPr>
          <w:p>
            <w:pPr>
              <w:spacing w:after="0"/>
              <w:rPr>
                <w:sz w:val="6"/>
                <w:szCs w:val="6"/>
                <w:color w:val="auto"/>
              </w:rPr>
            </w:pPr>
          </w:p>
        </w:tc>
        <w:tc>
          <w:tcPr>
            <w:tcW w:w="2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43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4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Mark Goines</w:t>
            </w:r>
          </w:p>
        </w:tc>
        <w:tc>
          <w:tcPr>
            <w:tcW w:w="14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0"/>
        </w:trPr>
        <w:tc>
          <w:tcPr>
            <w:tcW w:w="4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John Philip Coghlan</w:t>
            </w:r>
          </w:p>
        </w:tc>
        <w:tc>
          <w:tcPr>
            <w:tcW w:w="140" w:type="dxa"/>
            <w:vAlign w:val="bottom"/>
          </w:tcPr>
          <w:p>
            <w:pPr>
              <w:spacing w:after="0"/>
              <w:rPr>
                <w:sz w:val="24"/>
                <w:szCs w:val="24"/>
                <w:color w:val="auto"/>
              </w:rPr>
            </w:pPr>
          </w:p>
        </w:tc>
        <w:tc>
          <w:tcPr>
            <w:tcW w:w="44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 2026</w:t>
            </w:r>
          </w:p>
        </w:tc>
        <w:tc>
          <w:tcPr>
            <w:tcW w:w="0" w:type="dxa"/>
            <w:vAlign w:val="bottom"/>
          </w:tcPr>
          <w:p>
            <w:pPr>
              <w:spacing w:after="0"/>
              <w:rPr>
                <w:sz w:val="1"/>
                <w:szCs w:val="1"/>
                <w:color w:val="auto"/>
              </w:rPr>
            </w:pPr>
          </w:p>
        </w:tc>
      </w:tr>
      <w:tr>
        <w:trPr>
          <w:trHeight w:val="52"/>
        </w:trPr>
        <w:tc>
          <w:tcPr>
            <w:tcW w:w="43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4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John Philip Coghlan</w:t>
            </w:r>
          </w:p>
        </w:tc>
        <w:tc>
          <w:tcPr>
            <w:tcW w:w="14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2"/>
        </w:trPr>
        <w:tc>
          <w:tcPr>
            <w:tcW w:w="4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Alex Haro</w:t>
            </w:r>
          </w:p>
        </w:tc>
        <w:tc>
          <w:tcPr>
            <w:tcW w:w="140" w:type="dxa"/>
            <w:vAlign w:val="bottom"/>
          </w:tcPr>
          <w:p>
            <w:pPr>
              <w:spacing w:after="0"/>
              <w:rPr>
                <w:sz w:val="24"/>
                <w:szCs w:val="24"/>
                <w:color w:val="auto"/>
              </w:rPr>
            </w:pPr>
          </w:p>
        </w:tc>
        <w:tc>
          <w:tcPr>
            <w:tcW w:w="44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auto"/>
              </w:rPr>
              <w:t>Director</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March 2, 2026</w:t>
            </w:r>
          </w:p>
        </w:tc>
        <w:tc>
          <w:tcPr>
            <w:tcW w:w="0" w:type="dxa"/>
            <w:vAlign w:val="bottom"/>
          </w:tcPr>
          <w:p>
            <w:pPr>
              <w:spacing w:after="0"/>
              <w:rPr>
                <w:sz w:val="1"/>
                <w:szCs w:val="1"/>
                <w:color w:val="auto"/>
              </w:rPr>
            </w:pPr>
          </w:p>
        </w:tc>
      </w:tr>
      <w:tr>
        <w:trPr>
          <w:trHeight w:val="78"/>
        </w:trPr>
        <w:tc>
          <w:tcPr>
            <w:tcW w:w="4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80" w:type="dxa"/>
            <w:vAlign w:val="bottom"/>
            <w:gridSpan w:val="2"/>
            <w:vMerge w:val="continue"/>
          </w:tcPr>
          <w:p>
            <w:pPr>
              <w:spacing w:after="0"/>
              <w:rPr>
                <w:sz w:val="6"/>
                <w:szCs w:val="6"/>
                <w:color w:val="auto"/>
              </w:rPr>
            </w:pPr>
          </w:p>
        </w:tc>
        <w:tc>
          <w:tcPr>
            <w:tcW w:w="2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43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4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Alex Haro</w:t>
            </w:r>
          </w:p>
        </w:tc>
        <w:tc>
          <w:tcPr>
            <w:tcW w:w="14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62" w:right="339" w:bottom="1440" w:gutter="0" w:footer="0" w:header="0"/>
        </w:sectPr>
      </w:pPr>
    </w:p>
    <w:bookmarkStart w:id="6" w:name="page7"/>
    <w:bookmarkEnd w:id="6"/>
    <w:p>
      <w:pPr>
        <w:jc w:val="center"/>
        <w:ind w:right="2420"/>
        <w:spacing w:after="0"/>
        <w:rPr>
          <w:sz w:val="20"/>
          <w:szCs w:val="20"/>
          <w:color w:val="auto"/>
        </w:rPr>
      </w:pPr>
      <w:r>
        <w:rPr>
          <w:rFonts w:ascii="Times New Roman" w:cs="Times New Roman" w:eastAsia="Times New Roman" w:hAnsi="Times New Roman"/>
          <w:sz w:val="17"/>
          <w:szCs w:val="17"/>
          <w:color w:val="auto"/>
        </w:rPr>
        <w:t>/s/ Brit Morin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101600</wp:posOffset>
            </wp:positionV>
            <wp:extent cx="27546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2754630" cy="8255"/>
                    </a:xfrm>
                    <a:prstGeom prst="rect">
                      <a:avLst/>
                    </a:prstGeom>
                    <a:noFill/>
                  </pic:spPr>
                </pic:pic>
              </a:graphicData>
            </a:graphic>
          </wp:anchor>
        </w:drawing>
      </w:r>
    </w:p>
    <w:p>
      <w:pPr>
        <w:spacing w:after="0" w:line="2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Brit Morin</w:t>
      </w:r>
    </w:p>
    <w:p>
      <w:pPr>
        <w:spacing w:after="0" w:line="284" w:lineRule="exact"/>
        <w:rPr>
          <w:sz w:val="20"/>
          <w:szCs w:val="20"/>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/s/ Charles (CJ) Prober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101600</wp:posOffset>
            </wp:positionV>
            <wp:extent cx="2754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754630" cy="8255"/>
                    </a:xfrm>
                    <a:prstGeom prst="rect">
                      <a:avLst/>
                    </a:prstGeom>
                    <a:noFill/>
                  </pic:spPr>
                </pic:pic>
              </a:graphicData>
            </a:graphic>
          </wp:anchor>
        </w:drawing>
      </w:r>
    </w:p>
    <w:p>
      <w:pPr>
        <w:spacing w:after="0" w:line="2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Charles (CJ) Prober</w:t>
      </w:r>
    </w:p>
    <w:p>
      <w:pPr>
        <w:spacing w:after="0" w:line="284" w:lineRule="exact"/>
        <w:rPr>
          <w:sz w:val="20"/>
          <w:szCs w:val="20"/>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/s/ James Synge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101600</wp:posOffset>
            </wp:positionV>
            <wp:extent cx="2754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2754630" cy="8255"/>
                    </a:xfrm>
                    <a:prstGeom prst="rect">
                      <a:avLst/>
                    </a:prstGeom>
                    <a:noFill/>
                  </pic:spPr>
                </pic:pic>
              </a:graphicData>
            </a:graphic>
          </wp:anchor>
        </w:drawing>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James Synge</w:t>
      </w:r>
    </w:p>
    <w:p>
      <w:pPr>
        <w:spacing w:after="0" w:line="284" w:lineRule="exact"/>
        <w:rPr>
          <w:sz w:val="20"/>
          <w:szCs w:val="20"/>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/s/ David Wiadrowski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101600</wp:posOffset>
            </wp:positionV>
            <wp:extent cx="27546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2754630" cy="8255"/>
                    </a:xfrm>
                    <a:prstGeom prst="rect">
                      <a:avLst/>
                    </a:prstGeom>
                    <a:noFill/>
                  </pic:spPr>
                </pic:pic>
              </a:graphicData>
            </a:graphic>
          </wp:anchor>
        </w:drawing>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David Wiadrowski</w:t>
      </w:r>
    </w:p>
    <w:p>
      <w:pPr>
        <w:spacing w:after="0" w:line="284" w:lineRule="exact"/>
        <w:rPr>
          <w:sz w:val="20"/>
          <w:szCs w:val="20"/>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/s/ Randi Zuckerberg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101600</wp:posOffset>
            </wp:positionV>
            <wp:extent cx="27546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2754630" cy="8255"/>
                    </a:xfrm>
                    <a:prstGeom prst="rect">
                      <a:avLst/>
                    </a:prstGeom>
                    <a:noFill/>
                  </pic:spPr>
                </pic:pic>
              </a:graphicData>
            </a:graphic>
          </wp:anchor>
        </w:drawing>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Randi Zuckerberg</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tabs>
          <w:tab w:leader="none" w:pos="322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2, 2026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322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2, 2026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322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2, 2026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322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2, 2026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322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2, 2026</w:t>
      </w:r>
    </w:p>
    <w:p>
      <w:pPr>
        <w:sectPr>
          <w:pgSz w:w="11900" w:h="16838" w:orient="portrait"/>
          <w:cols w:equalWidth="0" w:num="2">
            <w:col w:w="4520" w:space="720"/>
            <w:col w:w="4240"/>
          </w:cols>
          <w:pgMar w:left="1440" w:top="937" w:right="979" w:bottom="1440" w:gutter="0" w:footer="0" w:header="0"/>
        </w:sectPr>
      </w:pPr>
    </w:p>
    <w:bookmarkStart w:id="7" w:name="page8"/>
    <w:bookmarkEnd w:id="7"/>
    <w:p>
      <w:pPr>
        <w:ind w:left="2980"/>
        <w:spacing w:after="0"/>
        <w:rPr>
          <w:sz w:val="20"/>
          <w:szCs w:val="20"/>
          <w:color w:val="auto"/>
        </w:rPr>
      </w:pPr>
      <w:r>
        <w:rPr>
          <w:rFonts w:ascii="Arial" w:cs="Arial" w:eastAsia="Arial" w:hAnsi="Arial"/>
          <w:sz w:val="35"/>
          <w:szCs w:val="35"/>
          <w:b w:val="1"/>
          <w:bCs w:val="1"/>
          <w:color w:val="auto"/>
        </w:rPr>
        <w:t>Calculation of Filing Fee Tables</w:t>
      </w:r>
    </w:p>
    <w:p>
      <w:pPr>
        <w:spacing w:after="0" w:line="206" w:lineRule="exact"/>
        <w:rPr>
          <w:sz w:val="20"/>
          <w:szCs w:val="20"/>
          <w:color w:val="auto"/>
        </w:rPr>
      </w:pPr>
    </w:p>
    <w:p>
      <w:pPr>
        <w:ind w:left="5280"/>
        <w:spacing w:after="0"/>
        <w:rPr>
          <w:sz w:val="20"/>
          <w:szCs w:val="20"/>
          <w:color w:val="auto"/>
        </w:rPr>
      </w:pPr>
      <w:r>
        <w:rPr>
          <w:rFonts w:ascii="Arial" w:cs="Arial" w:eastAsia="Arial" w:hAnsi="Arial"/>
          <w:sz w:val="35"/>
          <w:szCs w:val="35"/>
          <w:b w:val="1"/>
          <w:bCs w:val="1"/>
          <w:color w:val="auto"/>
        </w:rPr>
        <w:t>S-8</w:t>
      </w:r>
    </w:p>
    <w:p>
      <w:pPr>
        <w:spacing w:after="0" w:line="116" w:lineRule="exact"/>
        <w:rPr>
          <w:sz w:val="20"/>
          <w:szCs w:val="20"/>
          <w:color w:val="auto"/>
        </w:rPr>
      </w:pPr>
    </w:p>
    <w:p>
      <w:pPr>
        <w:jc w:val="center"/>
        <w:ind w:right="240"/>
        <w:spacing w:after="0"/>
        <w:rPr>
          <w:sz w:val="20"/>
          <w:szCs w:val="20"/>
          <w:color w:val="auto"/>
        </w:rPr>
      </w:pPr>
      <w:r>
        <w:rPr>
          <w:rFonts w:ascii="Arial" w:cs="Arial" w:eastAsia="Arial" w:hAnsi="Arial"/>
          <w:sz w:val="35"/>
          <w:szCs w:val="35"/>
          <w:b w:val="1"/>
          <w:bCs w:val="1"/>
          <w:color w:val="auto"/>
        </w:rPr>
        <w:t>Life360, Inc.</w:t>
      </w:r>
    </w:p>
    <w:p>
      <w:pPr>
        <w:spacing w:after="0" w:line="153"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Table 1: Newly Registered Securities</w:t>
      </w:r>
    </w:p>
    <w:p>
      <w:pPr>
        <w:spacing w:after="0" w:line="42" w:lineRule="exact"/>
        <w:rPr>
          <w:sz w:val="20"/>
          <w:szCs w:val="20"/>
          <w:color w:val="auto"/>
        </w:rPr>
      </w:pPr>
    </w:p>
    <w:tbl>
      <w:tblPr>
        <w:tblLayout w:type="fixed"/>
        <w:tblInd w:w="570" w:type="dxa"/>
        <w:tblCellMar>
          <w:top w:w="0" w:type="dxa"/>
          <w:left w:w="0" w:type="dxa"/>
          <w:bottom w:w="0" w:type="dxa"/>
          <w:right w:w="0" w:type="dxa"/>
        </w:tblCellMar>
      </w:tblPr>
      <w:tr>
        <w:trPr>
          <w:trHeight w:val="40"/>
        </w:trPr>
        <w:tc>
          <w:tcPr>
            <w:tcW w:w="6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6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6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18"/>
                <w:szCs w:val="18"/>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40" w:type="dxa"/>
            <w:vAlign w:val="bottom"/>
          </w:tcPr>
          <w:p>
            <w:pPr>
              <w:spacing w:after="0"/>
              <w:rPr>
                <w:sz w:val="18"/>
                <w:szCs w:val="18"/>
                <w:color w:val="auto"/>
              </w:rPr>
            </w:pPr>
          </w:p>
        </w:tc>
        <w:tc>
          <w:tcPr>
            <w:tcW w:w="1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shd w:val="clear" w:color="auto" w:fill="9ADAF6"/>
          </w:tcPr>
          <w:p>
            <w:pPr>
              <w:jc w:val="center"/>
              <w:spacing w:after="0" w:line="214" w:lineRule="exact"/>
              <w:rPr>
                <w:sz w:val="20"/>
                <w:szCs w:val="20"/>
                <w:color w:val="auto"/>
              </w:rPr>
            </w:pPr>
            <w:r>
              <w:rPr>
                <w:rFonts w:ascii="Arial" w:cs="Arial" w:eastAsia="Arial" w:hAnsi="Arial"/>
                <w:sz w:val="21"/>
                <w:szCs w:val="21"/>
                <w:b w:val="1"/>
                <w:bCs w:val="1"/>
                <w:color w:val="auto"/>
                <w:w w:val="99"/>
              </w:rPr>
              <w:t>Proposed</w:t>
            </w:r>
          </w:p>
        </w:tc>
        <w:tc>
          <w:tcPr>
            <w:tcW w:w="20" w:type="dxa"/>
            <w:vAlign w:val="bottom"/>
          </w:tcPr>
          <w:p>
            <w:pPr>
              <w:spacing w:after="0"/>
              <w:rPr>
                <w:sz w:val="18"/>
                <w:szCs w:val="18"/>
                <w:color w:val="auto"/>
              </w:rPr>
            </w:pPr>
          </w:p>
        </w:tc>
        <w:tc>
          <w:tcPr>
            <w:tcW w:w="15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Amount of</w:t>
            </w: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18"/>
                <w:szCs w:val="18"/>
                <w:color w:val="auto"/>
              </w:rPr>
            </w:pPr>
          </w:p>
        </w:tc>
        <w:tc>
          <w:tcPr>
            <w:tcW w:w="94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shd w:val="clear" w:color="auto" w:fill="9ADAF6"/>
          </w:tcPr>
          <w:p>
            <w:pPr>
              <w:jc w:val="right"/>
              <w:ind w:right="76"/>
              <w:spacing w:after="0" w:line="208" w:lineRule="exact"/>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8"/>
                <w:szCs w:val="18"/>
                <w:color w:val="auto"/>
              </w:rPr>
            </w:pPr>
          </w:p>
        </w:tc>
        <w:tc>
          <w:tcPr>
            <w:tcW w:w="140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18"/>
                <w:szCs w:val="18"/>
                <w:color w:val="auto"/>
              </w:rPr>
            </w:pPr>
          </w:p>
        </w:tc>
        <w:tc>
          <w:tcPr>
            <w:tcW w:w="15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vMerge w:val="continue"/>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Type</w:t>
            </w:r>
          </w:p>
        </w:tc>
        <w:tc>
          <w:tcPr>
            <w:tcW w:w="40" w:type="dxa"/>
            <w:vAlign w:val="bottom"/>
          </w:tcPr>
          <w:p>
            <w:pPr>
              <w:spacing w:after="0"/>
              <w:rPr>
                <w:sz w:val="20"/>
                <w:szCs w:val="20"/>
                <w:color w:val="auto"/>
              </w:rPr>
            </w:pPr>
          </w:p>
        </w:tc>
        <w:tc>
          <w:tcPr>
            <w:tcW w:w="9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Calculation</w:t>
            </w:r>
          </w:p>
        </w:tc>
        <w:tc>
          <w:tcPr>
            <w:tcW w:w="40" w:type="dxa"/>
            <w:vAlign w:val="bottom"/>
          </w:tcPr>
          <w:p>
            <w:pPr>
              <w:spacing w:after="0"/>
              <w:rPr>
                <w:sz w:val="20"/>
                <w:szCs w:val="20"/>
                <w:color w:val="auto"/>
              </w:rPr>
            </w:pPr>
          </w:p>
        </w:tc>
        <w:tc>
          <w:tcPr>
            <w:tcW w:w="110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Registered</w:t>
            </w:r>
          </w:p>
        </w:tc>
        <w:tc>
          <w:tcPr>
            <w:tcW w:w="20" w:type="dxa"/>
            <w:vAlign w:val="bottom"/>
          </w:tcPr>
          <w:p>
            <w:pPr>
              <w:spacing w:after="0"/>
              <w:rPr>
                <w:sz w:val="20"/>
                <w:szCs w:val="20"/>
                <w:color w:val="auto"/>
              </w:rPr>
            </w:pPr>
          </w:p>
        </w:tc>
        <w:tc>
          <w:tcPr>
            <w:tcW w:w="14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Offering Price</w:t>
            </w:r>
          </w:p>
        </w:tc>
        <w:tc>
          <w:tcPr>
            <w:tcW w:w="20" w:type="dxa"/>
            <w:vAlign w:val="bottom"/>
          </w:tcPr>
          <w:p>
            <w:pPr>
              <w:spacing w:after="0"/>
              <w:rPr>
                <w:sz w:val="20"/>
                <w:szCs w:val="20"/>
                <w:color w:val="auto"/>
              </w:rPr>
            </w:pPr>
          </w:p>
        </w:tc>
        <w:tc>
          <w:tcPr>
            <w:tcW w:w="15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10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Fee Rate</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Registration</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Title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Rule</w:t>
            </w:r>
          </w:p>
        </w:tc>
        <w:tc>
          <w:tcPr>
            <w:tcW w:w="40" w:type="dxa"/>
            <w:vAlign w:val="bottom"/>
          </w:tcPr>
          <w:p>
            <w:pPr>
              <w:spacing w:after="0"/>
              <w:rPr>
                <w:sz w:val="20"/>
                <w:szCs w:val="20"/>
                <w:color w:val="auto"/>
              </w:rPr>
            </w:pPr>
          </w:p>
        </w:tc>
        <w:tc>
          <w:tcPr>
            <w:tcW w:w="11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Per Unit</w:t>
            </w:r>
          </w:p>
        </w:tc>
        <w:tc>
          <w:tcPr>
            <w:tcW w:w="20" w:type="dxa"/>
            <w:vAlign w:val="bottom"/>
          </w:tcPr>
          <w:p>
            <w:pPr>
              <w:spacing w:after="0"/>
              <w:rPr>
                <w:sz w:val="20"/>
                <w:szCs w:val="20"/>
                <w:color w:val="auto"/>
              </w:rPr>
            </w:pPr>
          </w:p>
        </w:tc>
        <w:tc>
          <w:tcPr>
            <w:tcW w:w="15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Offering Price</w:t>
            </w:r>
          </w:p>
        </w:tc>
        <w:tc>
          <w:tcPr>
            <w:tcW w:w="20" w:type="dxa"/>
            <w:vAlign w:val="bottom"/>
          </w:tcPr>
          <w:p>
            <w:pPr>
              <w:spacing w:after="0"/>
              <w:rPr>
                <w:sz w:val="20"/>
                <w:szCs w:val="20"/>
                <w:color w:val="auto"/>
              </w:rPr>
            </w:pPr>
          </w:p>
        </w:tc>
        <w:tc>
          <w:tcPr>
            <w:tcW w:w="10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5"/>
        </w:trPr>
        <w:tc>
          <w:tcPr>
            <w:tcW w:w="60" w:type="dxa"/>
            <w:vAlign w:val="bottom"/>
            <w:tcBorders>
              <w:left w:val="single" w:sz="8" w:color="auto"/>
            </w:tcBorders>
          </w:tcPr>
          <w:p>
            <w:pPr>
              <w:spacing w:after="0"/>
              <w:rPr>
                <w:sz w:val="5"/>
                <w:szCs w:val="5"/>
                <w:color w:val="auto"/>
              </w:rPr>
            </w:pPr>
          </w:p>
        </w:tc>
        <w:tc>
          <w:tcPr>
            <w:tcW w:w="1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40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shd w:val="clear" w:color="auto" w:fill="9ADAF6"/>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9"/>
                <w:szCs w:val="19"/>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Equity</w:t>
            </w:r>
          </w:p>
        </w:tc>
        <w:tc>
          <w:tcPr>
            <w:tcW w:w="40" w:type="dxa"/>
            <w:vAlign w:val="bottom"/>
          </w:tcPr>
          <w:p>
            <w:pPr>
              <w:spacing w:after="0"/>
              <w:rPr>
                <w:sz w:val="19"/>
                <w:szCs w:val="19"/>
                <w:color w:val="auto"/>
              </w:rPr>
            </w:pPr>
          </w:p>
        </w:tc>
        <w:tc>
          <w:tcPr>
            <w:tcW w:w="940" w:type="dxa"/>
            <w:vAlign w:val="bottom"/>
            <w:shd w:val="clear" w:color="auto" w:fill="E7E7E2"/>
          </w:tcPr>
          <w:p>
            <w:pPr>
              <w:spacing w:after="0" w:line="220"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4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40" w:type="dxa"/>
            <w:vAlign w:val="bottom"/>
          </w:tcPr>
          <w:p>
            <w:pPr>
              <w:spacing w:after="0"/>
              <w:rPr>
                <w:sz w:val="19"/>
                <w:szCs w:val="19"/>
                <w:color w:val="auto"/>
              </w:rPr>
            </w:pPr>
          </w:p>
        </w:tc>
        <w:tc>
          <w:tcPr>
            <w:tcW w:w="11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3,967,955</w:t>
            </w:r>
          </w:p>
        </w:tc>
        <w:tc>
          <w:tcPr>
            <w:tcW w:w="20" w:type="dxa"/>
            <w:vAlign w:val="bottom"/>
          </w:tcPr>
          <w:p>
            <w:pPr>
              <w:spacing w:after="0"/>
              <w:rPr>
                <w:sz w:val="19"/>
                <w:szCs w:val="19"/>
                <w:color w:val="auto"/>
              </w:rPr>
            </w:pPr>
          </w:p>
        </w:tc>
        <w:tc>
          <w:tcPr>
            <w:tcW w:w="14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$ 51.90</w:t>
            </w:r>
          </w:p>
        </w:tc>
        <w:tc>
          <w:tcPr>
            <w:tcW w:w="20" w:type="dxa"/>
            <w:vAlign w:val="bottom"/>
            <w:vMerge w:val="continue"/>
          </w:tcPr>
          <w:p>
            <w:pPr>
              <w:spacing w:after="0"/>
              <w:rPr>
                <w:sz w:val="19"/>
                <w:szCs w:val="19"/>
                <w:color w:val="auto"/>
              </w:rPr>
            </w:pPr>
          </w:p>
        </w:tc>
        <w:tc>
          <w:tcPr>
            <w:tcW w:w="1560" w:type="dxa"/>
            <w:vAlign w:val="bottom"/>
            <w:shd w:val="clear" w:color="auto" w:fill="E7E7E2"/>
          </w:tcPr>
          <w:p>
            <w:pPr>
              <w:jc w:val="right"/>
              <w:spacing w:after="0" w:line="220" w:lineRule="exact"/>
              <w:rPr>
                <w:sz w:val="20"/>
                <w:szCs w:val="20"/>
                <w:color w:val="auto"/>
              </w:rPr>
            </w:pPr>
            <w:r>
              <w:rPr>
                <w:rFonts w:ascii="Arial" w:cs="Arial" w:eastAsia="Arial" w:hAnsi="Arial"/>
                <w:sz w:val="21"/>
                <w:szCs w:val="21"/>
                <w:color w:val="auto"/>
              </w:rPr>
              <w:t>$</w:t>
            </w:r>
          </w:p>
        </w:tc>
        <w:tc>
          <w:tcPr>
            <w:tcW w:w="20" w:type="dxa"/>
            <w:vAlign w:val="bottom"/>
          </w:tcPr>
          <w:p>
            <w:pPr>
              <w:spacing w:after="0"/>
              <w:rPr>
                <w:sz w:val="19"/>
                <w:szCs w:val="19"/>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w w:val="98"/>
              </w:rPr>
              <w:t>0.0001381</w:t>
            </w:r>
          </w:p>
        </w:tc>
        <w:tc>
          <w:tcPr>
            <w:tcW w:w="20" w:type="dxa"/>
            <w:vAlign w:val="bottom"/>
          </w:tcPr>
          <w:p>
            <w:pPr>
              <w:spacing w:after="0"/>
              <w:rPr>
                <w:sz w:val="19"/>
                <w:szCs w:val="19"/>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$ 28,439.88</w:t>
            </w: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80" w:type="dxa"/>
            <w:vAlign w:val="bottom"/>
            <w:vMerge w:val="continue"/>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vMerge w:val="continue"/>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shd w:val="clear" w:color="auto" w:fill="E7E7E2"/>
          </w:tcPr>
          <w:p>
            <w:pPr>
              <w:spacing w:after="0"/>
              <w:rPr>
                <w:sz w:val="20"/>
                <w:szCs w:val="20"/>
                <w:color w:val="auto"/>
              </w:rPr>
            </w:pPr>
            <w:r>
              <w:rPr>
                <w:rFonts w:ascii="Arial" w:cs="Arial" w:eastAsia="Arial" w:hAnsi="Arial"/>
                <w:sz w:val="21"/>
                <w:szCs w:val="21"/>
                <w:color w:val="auto"/>
              </w:rPr>
              <w:t>Stock</w:t>
            </w:r>
          </w:p>
        </w:tc>
        <w:tc>
          <w:tcPr>
            <w:tcW w:w="40" w:type="dxa"/>
            <w:vAlign w:val="bottom"/>
          </w:tcPr>
          <w:p>
            <w:pPr>
              <w:spacing w:after="0"/>
              <w:rPr>
                <w:sz w:val="23"/>
                <w:szCs w:val="23"/>
                <w:color w:val="auto"/>
              </w:rPr>
            </w:pPr>
          </w:p>
        </w:tc>
        <w:tc>
          <w:tcPr>
            <w:tcW w:w="1140" w:type="dxa"/>
            <w:vAlign w:val="bottom"/>
            <w:vMerge w:val="continue"/>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vMerge w:val="continue"/>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vMerge w:val="continue"/>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shd w:val="clear" w:color="auto" w:fill="E7E7E2"/>
          </w:tcPr>
          <w:p>
            <w:pPr>
              <w:jc w:val="right"/>
              <w:spacing w:after="0"/>
              <w:rPr>
                <w:sz w:val="20"/>
                <w:szCs w:val="20"/>
                <w:color w:val="auto"/>
              </w:rPr>
            </w:pPr>
            <w:r>
              <w:rPr>
                <w:rFonts w:ascii="Arial" w:cs="Arial" w:eastAsia="Arial" w:hAnsi="Arial"/>
                <w:sz w:val="21"/>
                <w:szCs w:val="21"/>
                <w:color w:val="auto"/>
              </w:rPr>
              <w:t>205,936,864.50</w:t>
            </w:r>
          </w:p>
        </w:tc>
        <w:tc>
          <w:tcPr>
            <w:tcW w:w="20" w:type="dxa"/>
            <w:vAlign w:val="bottom"/>
          </w:tcPr>
          <w:p>
            <w:pPr>
              <w:spacing w:after="0"/>
              <w:rPr>
                <w:sz w:val="23"/>
                <w:szCs w:val="23"/>
                <w:color w:val="auto"/>
              </w:rPr>
            </w:pPr>
          </w:p>
        </w:tc>
        <w:tc>
          <w:tcPr>
            <w:tcW w:w="1020" w:type="dxa"/>
            <w:vAlign w:val="bottom"/>
            <w:vMerge w:val="continue"/>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vMerge w:val="continue"/>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60" w:type="dxa"/>
            <w:vAlign w:val="bottom"/>
            <w:tcBorders>
              <w:lef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$ 28,439.88</w:t>
            </w: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0" w:type="dxa"/>
            <w:vAlign w:val="bottom"/>
            <w:tcBorders>
              <w:lef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205,936,864.50</w:t>
            </w:r>
          </w:p>
        </w:tc>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$ 28,439.88</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60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13"/>
          <w:szCs w:val="13"/>
          <w:color w:val="auto"/>
        </w:rPr>
        <w:t>1</w:t>
      </w:r>
    </w:p>
    <w:p>
      <w:pPr>
        <w:spacing w:after="0" w:line="70" w:lineRule="exact"/>
        <w:rPr>
          <w:sz w:val="20"/>
          <w:szCs w:val="20"/>
          <w:color w:val="auto"/>
        </w:rPr>
      </w:pPr>
    </w:p>
    <w:p>
      <w:pPr>
        <w:ind w:left="820" w:right="700" w:firstLine="6"/>
        <w:spacing w:after="0" w:line="236" w:lineRule="auto"/>
        <w:tabs>
          <w:tab w:leader="none" w:pos="1131" w:val="left"/>
        </w:tabs>
        <w:numPr>
          <w:ilvl w:val="0"/>
          <w:numId w:val="5"/>
        </w:numPr>
        <w:rPr>
          <w:rFonts w:ascii="Arial" w:cs="Arial" w:eastAsia="Arial" w:hAnsi="Arial"/>
          <w:sz w:val="21"/>
          <w:szCs w:val="21"/>
          <w:color w:val="auto"/>
        </w:rPr>
      </w:pPr>
      <w:r>
        <w:rPr>
          <w:rFonts w:ascii="Arial" w:cs="Arial" w:eastAsia="Arial" w:hAnsi="Arial"/>
          <w:sz w:val="21"/>
          <w:szCs w:val="21"/>
          <w:color w:val="auto"/>
        </w:rPr>
        <w:t>Life360, Inc., a Delaware corporation (the "Registrant"), is registering 3,967,955 shares of common stock, par value $0.001 per share (the "Common Stock"), that may be issued under the Life360, Inc. Amended and Restated 2011 Stock Plan (the "Plan"). Pursuant to Rule 416(a) promulgated under the Securities Act of 1933, as amended (the "Securities Act"), this Registration Statement shall also cover such additional and indeterminate number of shares of Registrant's Common Stock that become issuable under the Plan by reason of any stock dividend, stock split, recapitalization, or other similar transaction effected without receipt of consideration that results in an increase to the number of outstanding shares of Registrant's Common Stock, as applicable.</w:t>
      </w:r>
    </w:p>
    <w:p>
      <w:pPr>
        <w:spacing w:after="0" w:line="198" w:lineRule="exact"/>
        <w:rPr>
          <w:rFonts w:ascii="Arial" w:cs="Arial" w:eastAsia="Arial" w:hAnsi="Arial"/>
          <w:sz w:val="21"/>
          <w:szCs w:val="21"/>
          <w:color w:val="auto"/>
        </w:rPr>
      </w:pPr>
    </w:p>
    <w:p>
      <w:pPr>
        <w:jc w:val="both"/>
        <w:ind w:left="820" w:right="720" w:firstLine="6"/>
        <w:spacing w:after="0" w:line="242" w:lineRule="auto"/>
        <w:tabs>
          <w:tab w:leader="none" w:pos="1131"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offering price per unit and in the aggregate are estimated in accordance with Rule 457(h) under the Securities Act solely for the purpose of calculating the registration fee on the basis of $51.90 per share, the average of the high and low prices of the Registrant's Common Stock on February 27, 2026 as reported on the Nasdaq Global Select Market.</w:t>
      </w:r>
    </w:p>
    <w:p>
      <w:pPr>
        <w:spacing w:after="0" w:line="191" w:lineRule="exact"/>
        <w:rPr>
          <w:rFonts w:ascii="Arial" w:cs="Arial" w:eastAsia="Arial" w:hAnsi="Arial"/>
          <w:sz w:val="21"/>
          <w:szCs w:val="21"/>
          <w:color w:val="auto"/>
        </w:rPr>
      </w:pPr>
    </w:p>
    <w:p>
      <w:pPr>
        <w:ind w:left="820" w:right="860" w:firstLine="6"/>
        <w:spacing w:after="0" w:line="263" w:lineRule="auto"/>
        <w:tabs>
          <w:tab w:leader="none" w:pos="1119" w:val="left"/>
        </w:tabs>
        <w:numPr>
          <w:ilvl w:val="0"/>
          <w:numId w:val="5"/>
        </w:numPr>
        <w:rPr>
          <w:rFonts w:ascii="Arial" w:cs="Arial" w:eastAsia="Arial" w:hAnsi="Arial"/>
          <w:sz w:val="21"/>
          <w:szCs w:val="21"/>
          <w:color w:val="auto"/>
        </w:rPr>
      </w:pPr>
      <w:r>
        <w:rPr>
          <w:rFonts w:ascii="Arial" w:cs="Arial" w:eastAsia="Arial" w:hAnsi="Arial"/>
          <w:sz w:val="21"/>
          <w:szCs w:val="21"/>
          <w:color w:val="auto"/>
        </w:rPr>
        <w:t>Represents shares of the Registrant's Common Stock that were added for issuance under the Plan on January 1, 2026 pursuant to an "evergreen" provision contained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62865</wp:posOffset>
            </wp:positionV>
            <wp:extent cx="6398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4380" w:type="dxa"/>
            <w:vAlign w:val="bottom"/>
            <w:tcBorders>
              <w:bottom w:val="single" w:sz="8" w:color="auto"/>
            </w:tcBorders>
            <w:gridSpan w:val="12"/>
          </w:tcPr>
          <w:p>
            <w:pPr>
              <w:ind w:left="40"/>
              <w:spacing w:after="0"/>
              <w:rPr>
                <w:sz w:val="20"/>
                <w:szCs w:val="20"/>
                <w:color w:val="auto"/>
              </w:rPr>
            </w:pPr>
            <w:r>
              <w:rPr>
                <w:rFonts w:ascii="Arial" w:cs="Arial" w:eastAsia="Arial" w:hAnsi="Arial"/>
                <w:sz w:val="21"/>
                <w:szCs w:val="21"/>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200"/>
              <w:spacing w:after="0" w:line="242" w:lineRule="exact"/>
              <w:rPr>
                <w:sz w:val="20"/>
                <w:szCs w:val="20"/>
                <w:color w:val="auto"/>
              </w:rPr>
            </w:pPr>
            <w:r>
              <w:rPr>
                <w:rFonts w:ascii="MS PGothic" w:cs="MS PGothic" w:eastAsia="MS PGothic" w:hAnsi="MS PGothic"/>
                <w:sz w:val="21"/>
                <w:szCs w:val="21"/>
                <w:color w:val="auto"/>
                <w:highlight w:val="black"/>
              </w:rPr>
              <w:t>☑</w:t>
            </w:r>
            <w:r>
              <w:rPr>
                <w:rFonts w:ascii="Arial" w:cs="Arial" w:eastAsia="Arial" w:hAnsi="Arial"/>
                <w:sz w:val="21"/>
                <w:szCs w:val="21"/>
                <w:b w:val="1"/>
                <w:bCs w:val="1"/>
                <w:color w:val="auto"/>
              </w:rPr>
              <w:t>Not Applicable</w:t>
            </w: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r>
      <w:tr>
        <w:trPr>
          <w:trHeight w:val="324"/>
        </w:trPr>
        <w:tc>
          <w:tcPr>
            <w:tcW w:w="40" w:type="dxa"/>
            <w:vAlign w:val="bottom"/>
            <w:tcBorders>
              <w:left w:val="single" w:sz="8" w:color="auto"/>
            </w:tcBorders>
          </w:tcPr>
          <w:p>
            <w:pPr>
              <w:spacing w:after="0"/>
              <w:rPr>
                <w:sz w:val="24"/>
                <w:szCs w:val="24"/>
                <w:color w:val="auto"/>
              </w:rPr>
            </w:pPr>
          </w:p>
        </w:tc>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ind w:left="20"/>
              <w:spacing w:after="0"/>
              <w:rPr>
                <w:sz w:val="20"/>
                <w:szCs w:val="20"/>
                <w:color w:val="auto"/>
              </w:rPr>
            </w:pPr>
            <w:r>
              <w:rPr>
                <w:rFonts w:ascii="Arial" w:cs="Arial" w:eastAsia="Arial" w:hAnsi="Arial"/>
                <w:sz w:val="21"/>
                <w:szCs w:val="21"/>
                <w:b w:val="1"/>
                <w:bCs w:val="1"/>
                <w:color w:val="auto"/>
                <w:w w:val="98"/>
              </w:rPr>
              <w:t>Registrant</w:t>
            </w:r>
          </w:p>
        </w:tc>
        <w:tc>
          <w:tcPr>
            <w:tcW w:w="20" w:type="dxa"/>
            <w:vAlign w:val="bottom"/>
          </w:tcPr>
          <w:p>
            <w:pPr>
              <w:spacing w:after="0"/>
              <w:rPr>
                <w:sz w:val="24"/>
                <w:szCs w:val="24"/>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Form</w:t>
            </w: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Initial</w:t>
            </w: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jc w:val="right"/>
              <w:ind w:right="136"/>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Title</w:t>
            </w:r>
          </w:p>
        </w:tc>
        <w:tc>
          <w:tcPr>
            <w:tcW w:w="4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Securities</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4"/>
                <w:szCs w:val="24"/>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Paid</w:t>
            </w:r>
          </w:p>
        </w:tc>
        <w:tc>
          <w:tcPr>
            <w:tcW w:w="80" w:type="dxa"/>
            <w:vAlign w:val="bottom"/>
            <w:tcBorders>
              <w:right w:val="single" w:sz="8" w:color="auto"/>
            </w:tcBorders>
          </w:tcPr>
          <w:p>
            <w:pPr>
              <w:spacing w:after="0"/>
              <w:rPr>
                <w:sz w:val="24"/>
                <w:szCs w:val="24"/>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or Filer</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or</w:t>
            </w:r>
          </w:p>
        </w:tc>
        <w:tc>
          <w:tcPr>
            <w:tcW w:w="20" w:type="dxa"/>
            <w:vAlign w:val="bottom"/>
          </w:tcPr>
          <w:p>
            <w:pPr>
              <w:spacing w:after="0"/>
              <w:rPr>
                <w:sz w:val="20"/>
                <w:szCs w:val="20"/>
                <w:color w:val="auto"/>
              </w:rPr>
            </w:pPr>
          </w:p>
        </w:tc>
        <w:tc>
          <w:tcPr>
            <w:tcW w:w="8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File</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Filing</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20"/>
                <w:szCs w:val="20"/>
                <w:color w:val="auto"/>
              </w:rPr>
            </w:pPr>
          </w:p>
        </w:tc>
        <w:tc>
          <w:tcPr>
            <w:tcW w:w="840" w:type="dxa"/>
            <w:vAlign w:val="bottom"/>
            <w:shd w:val="clear" w:color="auto" w:fill="9ADAF6"/>
          </w:tcPr>
          <w:p>
            <w:pPr>
              <w:ind w:left="120"/>
              <w:spacing w:after="0" w:line="233"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Associated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Amount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w:t>
            </w:r>
          </w:p>
        </w:tc>
        <w:tc>
          <w:tcPr>
            <w:tcW w:w="80" w:type="dxa"/>
            <w:vAlign w:val="bottom"/>
            <w:tcBorders>
              <w:right w:val="single" w:sz="8" w:color="auto"/>
            </w:tcBorders>
          </w:tcPr>
          <w:p>
            <w:pPr>
              <w:spacing w:after="0"/>
              <w:rPr>
                <w:sz w:val="20"/>
                <w:szCs w:val="20"/>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Name</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20"/>
                <w:szCs w:val="20"/>
                <w:color w:val="auto"/>
              </w:rPr>
            </w:pPr>
          </w:p>
        </w:tc>
        <w:tc>
          <w:tcPr>
            <w:tcW w:w="8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Number</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Date</w:t>
            </w:r>
          </w:p>
        </w:tc>
        <w:tc>
          <w:tcPr>
            <w:tcW w:w="40" w:type="dxa"/>
            <w:vAlign w:val="bottom"/>
          </w:tcPr>
          <w:p>
            <w:pPr>
              <w:spacing w:after="0"/>
              <w:rPr>
                <w:sz w:val="20"/>
                <w:szCs w:val="20"/>
                <w:color w:val="auto"/>
              </w:rPr>
            </w:pPr>
          </w:p>
        </w:tc>
        <w:tc>
          <w:tcPr>
            <w:tcW w:w="84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r>
      <w:tr>
        <w:trPr>
          <w:trHeight w:val="142"/>
        </w:trPr>
        <w:tc>
          <w:tcPr>
            <w:tcW w:w="40" w:type="dxa"/>
            <w:vAlign w:val="bottom"/>
            <w:tcBorders>
              <w:left w:val="single" w:sz="8" w:color="auto"/>
            </w:tcBorders>
          </w:tcPr>
          <w:p>
            <w:pPr>
              <w:spacing w:after="0"/>
              <w:rPr>
                <w:sz w:val="12"/>
                <w:szCs w:val="12"/>
                <w:color w:val="auto"/>
              </w:rPr>
            </w:pPr>
          </w:p>
        </w:tc>
        <w:tc>
          <w:tcPr>
            <w:tcW w:w="8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2"/>
                <w:szCs w:val="12"/>
                <w:color w:val="auto"/>
              </w:rPr>
            </w:pPr>
          </w:p>
        </w:tc>
        <w:tc>
          <w:tcPr>
            <w:tcW w:w="8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80" w:type="dxa"/>
            <w:vAlign w:val="bottom"/>
            <w:tcBorders>
              <w:right w:val="single" w:sz="8" w:color="auto"/>
            </w:tcBorders>
          </w:tcPr>
          <w:p>
            <w:pPr>
              <w:spacing w:after="0"/>
              <w:rPr>
                <w:sz w:val="12"/>
                <w:szCs w:val="12"/>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Offset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Source</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3"/>
                <w:szCs w:val="23"/>
                <w:color w:val="auto"/>
              </w:rPr>
            </w:pPr>
          </w:p>
        </w:tc>
        <w:tc>
          <w:tcPr>
            <w:tcW w:w="740" w:type="dxa"/>
            <w:vAlign w:val="bottom"/>
            <w:shd w:val="clear" w:color="auto" w:fill="9ADAF6"/>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303"/>
        </w:trPr>
        <w:tc>
          <w:tcPr>
            <w:tcW w:w="4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3"/>
          </w:tcPr>
          <w:p>
            <w:pPr>
              <w:ind w:left="100"/>
              <w:spacing w:after="0"/>
              <w:rPr>
                <w:sz w:val="20"/>
                <w:szCs w:val="20"/>
                <w:color w:val="auto"/>
              </w:rPr>
            </w:pPr>
            <w:r>
              <w:rPr>
                <w:rFonts w:ascii="Arial" w:cs="Arial" w:eastAsia="Arial" w:hAnsi="Arial"/>
                <w:sz w:val="21"/>
                <w:szCs w:val="21"/>
                <w:b w:val="1"/>
                <w:bCs w:val="1"/>
                <w:color w:val="auto"/>
              </w:rPr>
              <w:t>Rule 457(p)</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Claims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26"/>
        </w:trPr>
        <w:tc>
          <w:tcPr>
            <w:tcW w:w="4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w w:val="98"/>
              </w:rPr>
              <w:t>Sources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1340"/>
          </w:cols>
          <w:pgMar w:left="320" w:top="141"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7"/>
          <w:szCs w:val="17"/>
          <w:b w:val="1"/>
          <w:bCs w:val="1"/>
          <w:color w:val="auto"/>
        </w:rPr>
        <w:t>Exhibit 5.1</w:t>
      </w:r>
    </w:p>
    <w:p>
      <w:pPr>
        <w:spacing w:after="0" w:line="94" w:lineRule="exact"/>
        <w:rPr>
          <w:sz w:val="20"/>
          <w:szCs w:val="20"/>
          <w:color w:val="auto"/>
        </w:rPr>
      </w:pPr>
    </w:p>
    <w:p>
      <w:pPr>
        <w:ind w:left="5020"/>
        <w:spacing w:after="0"/>
        <w:rPr>
          <w:sz w:val="20"/>
          <w:szCs w:val="20"/>
          <w:color w:val="auto"/>
        </w:rPr>
      </w:pPr>
      <w:r>
        <w:rPr>
          <w:rFonts w:ascii="Arial" w:cs="Arial" w:eastAsia="Arial" w:hAnsi="Arial"/>
          <w:sz w:val="10"/>
          <w:szCs w:val="10"/>
          <w:color w:val="auto"/>
        </w:rPr>
        <w:t>SIDLEY AUSTIN LLP</w:t>
      </w:r>
    </w:p>
    <w:p>
      <w:pPr>
        <w:spacing w:after="0" w:line="53" w:lineRule="exact"/>
        <w:rPr>
          <w:sz w:val="20"/>
          <w:szCs w:val="20"/>
          <w:color w:val="auto"/>
        </w:rPr>
      </w:pPr>
    </w:p>
    <w:p>
      <w:pPr>
        <w:ind w:left="5020"/>
        <w:spacing w:after="0"/>
        <w:rPr>
          <w:sz w:val="20"/>
          <w:szCs w:val="20"/>
          <w:color w:val="auto"/>
        </w:rPr>
      </w:pPr>
      <w:r>
        <w:rPr>
          <w:rFonts w:ascii="Arial" w:cs="Arial" w:eastAsia="Arial" w:hAnsi="Arial"/>
          <w:sz w:val="10"/>
          <w:szCs w:val="10"/>
          <w:color w:val="auto"/>
        </w:rPr>
        <w:t>555 CALIFORNIA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-72390</wp:posOffset>
            </wp:positionV>
            <wp:extent cx="1513205" cy="394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513205" cy="394970"/>
                    </a:xfrm>
                    <a:prstGeom prst="rect">
                      <a:avLst/>
                    </a:prstGeom>
                    <a:noFill/>
                  </pic:spPr>
                </pic:pic>
              </a:graphicData>
            </a:graphic>
          </wp:anchor>
        </w:drawing>
      </w:r>
    </w:p>
    <w:p>
      <w:pPr>
        <w:spacing w:after="0" w:line="46" w:lineRule="exact"/>
        <w:rPr>
          <w:sz w:val="20"/>
          <w:szCs w:val="20"/>
          <w:color w:val="auto"/>
        </w:rPr>
      </w:pPr>
    </w:p>
    <w:p>
      <w:pPr>
        <w:ind w:left="5020"/>
        <w:spacing w:after="0"/>
        <w:rPr>
          <w:sz w:val="20"/>
          <w:szCs w:val="20"/>
          <w:color w:val="auto"/>
        </w:rPr>
      </w:pPr>
      <w:r>
        <w:rPr>
          <w:rFonts w:ascii="Arial" w:cs="Arial" w:eastAsia="Arial" w:hAnsi="Arial"/>
          <w:sz w:val="10"/>
          <w:szCs w:val="10"/>
          <w:color w:val="auto"/>
        </w:rPr>
        <w:t>SUITE 2000</w:t>
      </w:r>
    </w:p>
    <w:p>
      <w:pPr>
        <w:spacing w:after="0" w:line="53" w:lineRule="exact"/>
        <w:rPr>
          <w:sz w:val="20"/>
          <w:szCs w:val="20"/>
          <w:color w:val="auto"/>
        </w:rPr>
      </w:pPr>
    </w:p>
    <w:p>
      <w:pPr>
        <w:ind w:left="5020"/>
        <w:spacing w:after="0"/>
        <w:rPr>
          <w:sz w:val="20"/>
          <w:szCs w:val="20"/>
          <w:color w:val="auto"/>
        </w:rPr>
      </w:pPr>
      <w:r>
        <w:rPr>
          <w:rFonts w:ascii="Arial" w:cs="Arial" w:eastAsia="Arial" w:hAnsi="Arial"/>
          <w:sz w:val="10"/>
          <w:szCs w:val="10"/>
          <w:color w:val="auto"/>
        </w:rPr>
        <w:t>SAN FRANCISCO, CA 94104</w:t>
      </w:r>
    </w:p>
    <w:p>
      <w:pPr>
        <w:spacing w:after="0" w:line="53" w:lineRule="exact"/>
        <w:rPr>
          <w:sz w:val="20"/>
          <w:szCs w:val="20"/>
          <w:color w:val="auto"/>
        </w:rPr>
      </w:pPr>
    </w:p>
    <w:p>
      <w:pPr>
        <w:ind w:left="5020"/>
        <w:spacing w:after="0"/>
        <w:rPr>
          <w:sz w:val="20"/>
          <w:szCs w:val="20"/>
          <w:color w:val="auto"/>
        </w:rPr>
      </w:pPr>
      <w:r>
        <w:rPr>
          <w:rFonts w:ascii="Arial" w:cs="Arial" w:eastAsia="Arial" w:hAnsi="Arial"/>
          <w:sz w:val="10"/>
          <w:szCs w:val="10"/>
          <w:color w:val="auto"/>
        </w:rPr>
        <w:t>+1 415 772 1200</w:t>
      </w:r>
    </w:p>
    <w:p>
      <w:pPr>
        <w:spacing w:after="0" w:line="66" w:lineRule="exact"/>
        <w:rPr>
          <w:sz w:val="20"/>
          <w:szCs w:val="20"/>
          <w:color w:val="auto"/>
        </w:rPr>
      </w:pPr>
    </w:p>
    <w:p>
      <w:pPr>
        <w:jc w:val="center"/>
        <w:ind w:right="200"/>
        <w:spacing w:after="0"/>
        <w:rPr>
          <w:sz w:val="20"/>
          <w:szCs w:val="20"/>
          <w:color w:val="auto"/>
        </w:rPr>
      </w:pPr>
      <w:r>
        <w:rPr>
          <w:rFonts w:ascii="Arial" w:cs="Arial" w:eastAsia="Arial" w:hAnsi="Arial"/>
          <w:sz w:val="10"/>
          <w:szCs w:val="10"/>
          <w:color w:val="auto"/>
        </w:rPr>
        <w:t>+1 415 772 7400 FAX</w:t>
      </w:r>
    </w:p>
    <w:p>
      <w:pPr>
        <w:spacing w:after="0" w:line="200" w:lineRule="exact"/>
        <w:rPr>
          <w:sz w:val="20"/>
          <w:szCs w:val="20"/>
          <w:color w:val="auto"/>
        </w:rPr>
      </w:pPr>
    </w:p>
    <w:p>
      <w:pPr>
        <w:spacing w:after="0" w:line="320" w:lineRule="exact"/>
        <w:rPr>
          <w:sz w:val="20"/>
          <w:szCs w:val="20"/>
          <w:color w:val="auto"/>
        </w:rPr>
      </w:pPr>
    </w:p>
    <w:p>
      <w:pPr>
        <w:ind w:left="5020"/>
        <w:spacing w:after="0"/>
        <w:rPr>
          <w:sz w:val="20"/>
          <w:szCs w:val="20"/>
          <w:color w:val="auto"/>
        </w:rPr>
      </w:pPr>
      <w:r>
        <w:rPr>
          <w:rFonts w:ascii="Arial" w:cs="Arial" w:eastAsia="Arial" w:hAnsi="Arial"/>
          <w:sz w:val="10"/>
          <w:szCs w:val="10"/>
          <w:color w:val="auto"/>
        </w:rPr>
        <w:t>AMERICA • ASIA PACIFIC •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March 2, 2026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Life360, Inc.</w:t>
      </w:r>
    </w:p>
    <w:p>
      <w:pPr>
        <w:spacing w:after="0" w:line="231" w:lineRule="auto"/>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San Mateo, CA 94403</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Re: </w:t>
      </w:r>
      <w:r>
        <w:rPr>
          <w:rFonts w:ascii="Times New Roman" w:cs="Times New Roman" w:eastAsia="Times New Roman" w:hAnsi="Times New Roman"/>
          <w:sz w:val="21"/>
          <w:szCs w:val="21"/>
          <w:u w:val="single" w:color="auto"/>
          <w:color w:val="auto"/>
        </w:rPr>
        <w:t>3,967,955 shares of Common Stock, $0.001 par value per share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Ladies and Gentlemen:</w:t>
      </w:r>
    </w:p>
    <w:p>
      <w:pPr>
        <w:spacing w:after="0" w:line="1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We refer to the Registration Statement on Form S-8 (the “</w:t>
      </w:r>
      <w:r>
        <w:rPr>
          <w:rFonts w:ascii="Times New Roman" w:cs="Times New Roman" w:eastAsia="Times New Roman" w:hAnsi="Times New Roman"/>
          <w:sz w:val="21"/>
          <w:szCs w:val="21"/>
          <w:u w:val="single" w:color="auto"/>
          <w:color w:val="auto"/>
        </w:rPr>
        <w:t>Registration Statement</w:t>
      </w:r>
      <w:r>
        <w:rPr>
          <w:rFonts w:ascii="Times New Roman" w:cs="Times New Roman" w:eastAsia="Times New Roman" w:hAnsi="Times New Roman"/>
          <w:sz w:val="21"/>
          <w:szCs w:val="21"/>
          <w:color w:val="auto"/>
        </w:rPr>
        <w:t>”) being filed by Life360, Inc, a Delaware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with the Securities and Exchange Commission under the Securities Act of 1933, as amended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relating to the registration of 3,967,955 shares of common stock, $0.001 par value per share (the “</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 the Company, which may be issued under the Life360, Inc. Amended and Restated 2011 Stock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and the aggregate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number of shares of Common Stock to be registered under the Registration Statement, the “</w:t>
      </w:r>
      <w:r>
        <w:rPr>
          <w:rFonts w:ascii="Times New Roman" w:cs="Times New Roman" w:eastAsia="Times New Roman" w:hAnsi="Times New Roman"/>
          <w:sz w:val="21"/>
          <w:szCs w:val="21"/>
          <w:u w:val="single" w:color="auto"/>
          <w:color w:val="auto"/>
        </w:rPr>
        <w:t>Registered Shares</w:t>
      </w:r>
      <w:r>
        <w:rPr>
          <w:rFonts w:ascii="Times New Roman" w:cs="Times New Roman" w:eastAsia="Times New Roman" w:hAnsi="Times New Roman"/>
          <w:sz w:val="21"/>
          <w:szCs w:val="21"/>
          <w:color w:val="auto"/>
        </w:rPr>
        <w:t>”).</w:t>
      </w:r>
    </w:p>
    <w:p>
      <w:pPr>
        <w:spacing w:after="0" w:line="97" w:lineRule="exact"/>
        <w:rPr>
          <w:sz w:val="20"/>
          <w:szCs w:val="20"/>
          <w:color w:val="auto"/>
        </w:rPr>
      </w:pPr>
    </w:p>
    <w:p>
      <w:pPr>
        <w:ind w:right="600" w:firstLine="622"/>
        <w:spacing w:after="0" w:line="273" w:lineRule="auto"/>
        <w:rPr>
          <w:sz w:val="20"/>
          <w:szCs w:val="20"/>
          <w:color w:val="auto"/>
        </w:rPr>
      </w:pPr>
      <w:r>
        <w:rPr>
          <w:rFonts w:ascii="Times New Roman" w:cs="Times New Roman" w:eastAsia="Times New Roman" w:hAnsi="Times New Roman"/>
          <w:sz w:val="21"/>
          <w:szCs w:val="21"/>
          <w:color w:val="auto"/>
        </w:rPr>
        <w:t>This opinion letter is being delivered in accordance with the requirements of Item 601(b)(5) of Regulation S-K under the Securities Act.</w:t>
      </w:r>
    </w:p>
    <w:p>
      <w:pPr>
        <w:spacing w:after="0" w:line="46" w:lineRule="exact"/>
        <w:rPr>
          <w:sz w:val="20"/>
          <w:szCs w:val="20"/>
          <w:color w:val="auto"/>
        </w:rPr>
      </w:pPr>
    </w:p>
    <w:p>
      <w:pPr>
        <w:ind w:right="60" w:firstLine="622"/>
        <w:spacing w:after="0" w:line="264" w:lineRule="auto"/>
        <w:rPr>
          <w:sz w:val="20"/>
          <w:szCs w:val="20"/>
          <w:color w:val="auto"/>
        </w:rPr>
      </w:pPr>
      <w:r>
        <w:rPr>
          <w:rFonts w:ascii="Times New Roman" w:cs="Times New Roman" w:eastAsia="Times New Roman" w:hAnsi="Times New Roman"/>
          <w:sz w:val="20"/>
          <w:szCs w:val="20"/>
          <w:color w:val="auto"/>
        </w:rPr>
        <w:t>We have examined the Registration Statement, the Company’s Restated Certificate of Incorporation, Amended and Restated Bylaws, the Plan, the resolutions adopted by the board of directors of the Company relating to the Registration Statement and the Plan, and the proposal adopted by the stockholders of the Company relating to the Plan at the Company’s Annual Meeting of Stockholders held on May 30, 2023. We have also examined originals, or copies of originals certified to our satisfaction, of such agreements, documents, certificates and statements of the Company and other corporate documents and instruments,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w:t>
      </w:r>
    </w:p>
    <w:p>
      <w:pPr>
        <w:spacing w:after="0" w:line="60" w:lineRule="exact"/>
        <w:rPr>
          <w:sz w:val="20"/>
          <w:szCs w:val="20"/>
          <w:color w:val="auto"/>
        </w:rPr>
      </w:pPr>
    </w:p>
    <w:p>
      <w:pPr>
        <w:ind w:right="40" w:firstLine="622"/>
        <w:spacing w:after="0" w:line="259" w:lineRule="auto"/>
        <w:rPr>
          <w:sz w:val="20"/>
          <w:szCs w:val="20"/>
          <w:color w:val="auto"/>
        </w:rPr>
      </w:pPr>
      <w:r>
        <w:rPr>
          <w:rFonts w:ascii="Times New Roman" w:cs="Times New Roman" w:eastAsia="Times New Roman" w:hAnsi="Times New Roman"/>
          <w:sz w:val="21"/>
          <w:szCs w:val="21"/>
          <w:color w:val="auto"/>
        </w:rPr>
        <w:t>Based on the foregoing, we are of the opinion that each Registered Share that is newly issued pursuant to the Plan will be validly issued, fully paid and non-assessable when: (i) the Registration Statement shall have become effective under the Securities Act; (ii) such Registered Share shall have been duly issued and delivered in accordance with the Plan; and (iii)</w:t>
      </w:r>
    </w:p>
    <w:p>
      <w:pPr>
        <w:sectPr>
          <w:pgSz w:w="11900" w:h="16838" w:orient="portrait"/>
          <w:cols w:equalWidth="0" w:num="1">
            <w:col w:w="11240"/>
          </w:cols>
          <w:pgMar w:left="320" w:top="121"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7"/>
          <w:szCs w:val="17"/>
          <w:b w:val="1"/>
          <w:bCs w:val="1"/>
          <w:color w:val="auto"/>
        </w:rPr>
        <w:t>Exhibit 5.1</w:t>
      </w:r>
    </w:p>
    <w:p>
      <w:pPr>
        <w:spacing w:after="0" w:line="94" w:lineRule="exact"/>
        <w:rPr>
          <w:sz w:val="20"/>
          <w:szCs w:val="20"/>
          <w:color w:val="auto"/>
        </w:rPr>
      </w:pPr>
    </w:p>
    <w:p>
      <w:pPr>
        <w:ind w:left="5020"/>
        <w:spacing w:after="0"/>
        <w:rPr>
          <w:sz w:val="20"/>
          <w:szCs w:val="20"/>
          <w:color w:val="auto"/>
        </w:rPr>
      </w:pPr>
      <w:r>
        <w:rPr>
          <w:rFonts w:ascii="Arial" w:cs="Arial" w:eastAsia="Arial" w:hAnsi="Arial"/>
          <w:sz w:val="10"/>
          <w:szCs w:val="10"/>
          <w:color w:val="auto"/>
        </w:rPr>
        <w:t>SIDLEY AUSTIN LLP</w:t>
      </w:r>
    </w:p>
    <w:p>
      <w:pPr>
        <w:spacing w:after="0" w:line="53" w:lineRule="exact"/>
        <w:rPr>
          <w:sz w:val="20"/>
          <w:szCs w:val="20"/>
          <w:color w:val="auto"/>
        </w:rPr>
      </w:pPr>
    </w:p>
    <w:p>
      <w:pPr>
        <w:ind w:left="5020"/>
        <w:spacing w:after="0"/>
        <w:rPr>
          <w:sz w:val="20"/>
          <w:szCs w:val="20"/>
          <w:color w:val="auto"/>
        </w:rPr>
      </w:pPr>
      <w:r>
        <w:rPr>
          <w:rFonts w:ascii="Arial" w:cs="Arial" w:eastAsia="Arial" w:hAnsi="Arial"/>
          <w:sz w:val="10"/>
          <w:szCs w:val="10"/>
          <w:color w:val="auto"/>
        </w:rPr>
        <w:t>555 CALIFORNIA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-72390</wp:posOffset>
            </wp:positionV>
            <wp:extent cx="1513205" cy="394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513205" cy="394970"/>
                    </a:xfrm>
                    <a:prstGeom prst="rect">
                      <a:avLst/>
                    </a:prstGeom>
                    <a:noFill/>
                  </pic:spPr>
                </pic:pic>
              </a:graphicData>
            </a:graphic>
          </wp:anchor>
        </w:drawing>
      </w:r>
    </w:p>
    <w:p>
      <w:pPr>
        <w:spacing w:after="0" w:line="46" w:lineRule="exact"/>
        <w:rPr>
          <w:sz w:val="20"/>
          <w:szCs w:val="20"/>
          <w:color w:val="auto"/>
        </w:rPr>
      </w:pPr>
    </w:p>
    <w:p>
      <w:pPr>
        <w:ind w:left="5020"/>
        <w:spacing w:after="0"/>
        <w:rPr>
          <w:sz w:val="20"/>
          <w:szCs w:val="20"/>
          <w:color w:val="auto"/>
        </w:rPr>
      </w:pPr>
      <w:r>
        <w:rPr>
          <w:rFonts w:ascii="Arial" w:cs="Arial" w:eastAsia="Arial" w:hAnsi="Arial"/>
          <w:sz w:val="10"/>
          <w:szCs w:val="10"/>
          <w:color w:val="auto"/>
        </w:rPr>
        <w:t>SUITE 2000</w:t>
      </w:r>
    </w:p>
    <w:p>
      <w:pPr>
        <w:spacing w:after="0" w:line="53" w:lineRule="exact"/>
        <w:rPr>
          <w:sz w:val="20"/>
          <w:szCs w:val="20"/>
          <w:color w:val="auto"/>
        </w:rPr>
      </w:pPr>
    </w:p>
    <w:p>
      <w:pPr>
        <w:ind w:left="5020"/>
        <w:spacing w:after="0"/>
        <w:rPr>
          <w:sz w:val="20"/>
          <w:szCs w:val="20"/>
          <w:color w:val="auto"/>
        </w:rPr>
      </w:pPr>
      <w:r>
        <w:rPr>
          <w:rFonts w:ascii="Arial" w:cs="Arial" w:eastAsia="Arial" w:hAnsi="Arial"/>
          <w:sz w:val="10"/>
          <w:szCs w:val="10"/>
          <w:color w:val="auto"/>
        </w:rPr>
        <w:t>SAN FRANCISCO, CA 94104</w:t>
      </w:r>
    </w:p>
    <w:p>
      <w:pPr>
        <w:spacing w:after="0" w:line="53" w:lineRule="exact"/>
        <w:rPr>
          <w:sz w:val="20"/>
          <w:szCs w:val="20"/>
          <w:color w:val="auto"/>
        </w:rPr>
      </w:pPr>
    </w:p>
    <w:p>
      <w:pPr>
        <w:ind w:left="5020"/>
        <w:spacing w:after="0"/>
        <w:rPr>
          <w:sz w:val="20"/>
          <w:szCs w:val="20"/>
          <w:color w:val="auto"/>
        </w:rPr>
      </w:pPr>
      <w:r>
        <w:rPr>
          <w:rFonts w:ascii="Arial" w:cs="Arial" w:eastAsia="Arial" w:hAnsi="Arial"/>
          <w:sz w:val="10"/>
          <w:szCs w:val="10"/>
          <w:color w:val="auto"/>
        </w:rPr>
        <w:t>+1 415 772 1200</w:t>
      </w:r>
    </w:p>
    <w:p>
      <w:pPr>
        <w:spacing w:after="0" w:line="66" w:lineRule="exact"/>
        <w:rPr>
          <w:sz w:val="20"/>
          <w:szCs w:val="20"/>
          <w:color w:val="auto"/>
        </w:rPr>
      </w:pPr>
    </w:p>
    <w:p>
      <w:pPr>
        <w:jc w:val="center"/>
        <w:ind w:right="200"/>
        <w:spacing w:after="0"/>
        <w:rPr>
          <w:sz w:val="20"/>
          <w:szCs w:val="20"/>
          <w:color w:val="auto"/>
        </w:rPr>
      </w:pPr>
      <w:r>
        <w:rPr>
          <w:rFonts w:ascii="Arial" w:cs="Arial" w:eastAsia="Arial" w:hAnsi="Arial"/>
          <w:sz w:val="10"/>
          <w:szCs w:val="10"/>
          <w:color w:val="auto"/>
        </w:rPr>
        <w:t>+1 415 772 7400 FAX</w:t>
      </w:r>
    </w:p>
    <w:p>
      <w:pPr>
        <w:spacing w:after="0" w:line="200" w:lineRule="exact"/>
        <w:rPr>
          <w:sz w:val="20"/>
          <w:szCs w:val="20"/>
          <w:color w:val="auto"/>
        </w:rPr>
      </w:pPr>
    </w:p>
    <w:p>
      <w:pPr>
        <w:spacing w:after="0" w:line="320" w:lineRule="exact"/>
        <w:rPr>
          <w:sz w:val="20"/>
          <w:szCs w:val="20"/>
          <w:color w:val="auto"/>
        </w:rPr>
      </w:pPr>
    </w:p>
    <w:p>
      <w:pPr>
        <w:ind w:left="5020"/>
        <w:spacing w:after="0"/>
        <w:rPr>
          <w:sz w:val="20"/>
          <w:szCs w:val="20"/>
          <w:color w:val="auto"/>
        </w:rPr>
      </w:pPr>
      <w:r>
        <w:rPr>
          <w:rFonts w:ascii="Arial" w:cs="Arial" w:eastAsia="Arial" w:hAnsi="Arial"/>
          <w:sz w:val="10"/>
          <w:szCs w:val="10"/>
          <w:color w:val="auto"/>
        </w:rPr>
        <w:t>AMERICA • ASIA PACIFIC • EUROPE</w:t>
      </w:r>
    </w:p>
    <w:p>
      <w:pPr>
        <w:spacing w:after="0" w:line="200" w:lineRule="exact"/>
        <w:rPr>
          <w:sz w:val="20"/>
          <w:szCs w:val="20"/>
          <w:color w:val="auto"/>
        </w:rPr>
      </w:pPr>
    </w:p>
    <w:p>
      <w:pPr>
        <w:spacing w:after="0" w:line="3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a certificate representing such Registered Share shall have been duly executed, countersigned and registered and duly delivered to the person entitled thereto against payment of the agreed consideration therefor (in an amount not less than the par value thereof) or, if any such Registered Share is to be issued in uncertificated form, the Company’s books shall reflect the issuance of such Registered Share to the person entitled thereto against payment of the agreed consideration therefor (in an amount not less than the par value thereof), all in accordance with the Plan.</w:t>
      </w:r>
    </w:p>
    <w:p>
      <w:pPr>
        <w:spacing w:after="0" w:line="64" w:lineRule="exact"/>
        <w:rPr>
          <w:sz w:val="20"/>
          <w:szCs w:val="20"/>
          <w:color w:val="auto"/>
        </w:rPr>
      </w:pPr>
    </w:p>
    <w:p>
      <w:pPr>
        <w:ind w:right="140" w:firstLine="1243"/>
        <w:spacing w:after="0" w:line="259" w:lineRule="auto"/>
        <w:rPr>
          <w:sz w:val="20"/>
          <w:szCs w:val="20"/>
          <w:color w:val="auto"/>
        </w:rPr>
      </w:pPr>
      <w:r>
        <w:rPr>
          <w:rFonts w:ascii="Times New Roman" w:cs="Times New Roman" w:eastAsia="Times New Roman" w:hAnsi="Times New Roman"/>
          <w:sz w:val="21"/>
          <w:szCs w:val="21"/>
          <w:color w:val="auto"/>
        </w:rPr>
        <w:t>This opinion letter is limited to the General Corporation Law of the State of Delaware. We express no opinion as to the laws, rules or regulations of any other jurisdiction, including, without limitation, the federal laws of the United States of America or any state securities or blue sky laws.</w:t>
      </w:r>
    </w:p>
    <w:p>
      <w:pPr>
        <w:spacing w:after="0" w:line="73" w:lineRule="exact"/>
        <w:rPr>
          <w:sz w:val="20"/>
          <w:szCs w:val="20"/>
          <w:color w:val="auto"/>
        </w:rPr>
      </w:pPr>
    </w:p>
    <w:p>
      <w:pPr>
        <w:jc w:val="both"/>
        <w:ind w:right="160" w:firstLine="1243"/>
        <w:spacing w:after="0" w:line="259" w:lineRule="auto"/>
        <w:rPr>
          <w:sz w:val="20"/>
          <w:szCs w:val="20"/>
          <w:color w:val="auto"/>
        </w:rPr>
      </w:pPr>
      <w:r>
        <w:rPr>
          <w:rFonts w:ascii="Times New Roman" w:cs="Times New Roman" w:eastAsia="Times New Roman" w:hAnsi="Times New Roman"/>
          <w:sz w:val="21"/>
          <w:szCs w:val="21"/>
          <w:color w:val="auto"/>
        </w:rPr>
        <w:t>We hereby consent to the filing of this opinion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w:t>
      </w:r>
    </w:p>
    <w:p>
      <w:pPr>
        <w:spacing w:after="0" w:line="28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/s/ Sidley Austin LLP</w:t>
      </w:r>
    </w:p>
    <w:p>
      <w:pPr>
        <w:ind w:left="4040"/>
        <w:spacing w:after="0"/>
        <w:rPr>
          <w:sz w:val="20"/>
          <w:szCs w:val="20"/>
          <w:color w:val="auto"/>
        </w:rPr>
      </w:pPr>
      <w:r>
        <w:rPr>
          <w:rFonts w:ascii="Times New Roman" w:cs="Times New Roman" w:eastAsia="Times New Roman" w:hAnsi="Times New Roman"/>
          <w:sz w:val="21"/>
          <w:szCs w:val="21"/>
          <w:color w:val="auto"/>
        </w:rPr>
        <w:t>Sidley Austin LLP</w:t>
      </w:r>
    </w:p>
    <w:p>
      <w:pPr>
        <w:sectPr>
          <w:pgSz w:w="11900" w:h="16838" w:orient="portrait"/>
          <w:cols w:equalWidth="0" w:num="1">
            <w:col w:w="11240"/>
          </w:cols>
          <w:pgMar w:left="320" w:top="122"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325" w:lineRule="exact"/>
        <w:rPr>
          <w:sz w:val="20"/>
          <w:szCs w:val="20"/>
          <w:color w:val="auto"/>
        </w:rPr>
      </w:pPr>
    </w:p>
    <w:p>
      <w:pPr>
        <w:ind w:right="60"/>
        <w:spacing w:after="0" w:line="368" w:lineRule="auto"/>
        <w:rPr>
          <w:sz w:val="20"/>
          <w:szCs w:val="20"/>
          <w:color w:val="auto"/>
        </w:rPr>
      </w:pPr>
      <w:r>
        <w:rPr>
          <w:rFonts w:ascii="Times New Roman" w:cs="Times New Roman" w:eastAsia="Times New Roman" w:hAnsi="Times New Roman"/>
          <w:sz w:val="17"/>
          <w:szCs w:val="17"/>
          <w:color w:val="auto"/>
        </w:rPr>
        <w:t>We consent to the incorporation by reference in this Registration Statement on Form S-8 of our reports dated March 2, 2026 relating to the financial statements of Life360, Inc. and the effectiveness of Life360, Inc.'s internal control over financial reporting, appearing in the Annual Report on Form 10-K of Life360, Inc.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Francisco, California</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 2026</w:t>
      </w:r>
    </w:p>
    <w:sectPr>
      <w:pgSz w:w="11900" w:h="16838" w:orient="portrait"/>
      <w:cols w:equalWidth="0" w:num="1">
        <w:col w:w="11240"/>
      </w:cols>
      <w:pgMar w:left="320" w:top="3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Roman"/>
      <w:start w:val="2"/>
    </w:lvl>
  </w:abstractNum>
  <w:abstractNum w:abstractNumId="3">
    <w:nsid w:val="238E1F29"/>
    <w:multiLevelType w:val="hybridMultilevel"/>
    <w:lvl w:ilvl="0">
      <w:lvlJc w:val="left"/>
      <w:lvlText w:val="%1"/>
      <w:numFmt w:val="decimal"/>
      <w:start w:val="107"/>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jpeg"/><Relationship Id="rId28" Type="http://schemas.openxmlformats.org/officeDocument/2006/relationships/image" Target="media/image13.jpeg"/><Relationship Id="rId12" Type="http://schemas.openxmlformats.org/officeDocument/2006/relationships/hyperlink" Target="https://www.sec.gov/ix?doc=/Archives/edgar/data/0001581760/000158176026000016/lifx-20251231.htm" TargetMode="External"/><Relationship Id="rId13" Type="http://schemas.openxmlformats.org/officeDocument/2006/relationships/hyperlink" Target="https://www.sec.gov/Archives/edgar/data/1581760/000119312522187348/d328928d1012ga.htm#rom328928_12" TargetMode="External"/><Relationship Id="rId14" Type="http://schemas.openxmlformats.org/officeDocument/2006/relationships/hyperlink" Target="https://www.sec.gov/Archives/edgar/data/1581760/000119312524152060/d844406dex31.htm" TargetMode="External"/><Relationship Id="rId15" Type="http://schemas.openxmlformats.org/officeDocument/2006/relationships/hyperlink" Target="https://www.sec.gov/Archives/edgar/data/1581760/000119312524152060/d844406dex32.htm" TargetMode="External"/><Relationship Id="rId16" Type="http://schemas.openxmlformats.org/officeDocument/2006/relationships/hyperlink" Target="https://www.sec.gov/Archives/edgar/data/1581760/000119312522120522/d328928dex102.htm" TargetMode="External"/><Relationship Id="rId17" Type="http://schemas.openxmlformats.org/officeDocument/2006/relationships/hyperlink" Target="https://www.sec.gov/Archives/edgar/data/1581760/000119312522120522/d328928dex103.htm" TargetMode="External"/><Relationship Id="rId18" Type="http://schemas.openxmlformats.org/officeDocument/2006/relationships/hyperlink" Target="https://www.sec.gov/Archives/edgar/data/1581760/000119312522120522/d328928dex104.htm" TargetMode="External"/><Relationship Id="rId19" Type="http://schemas.openxmlformats.org/officeDocument/2006/relationships/hyperlink" Target="https://www.sec.gov/Archives/edgar/data/1581760/000158176026000016/exhibit1026-addendumtof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2026-03-02T15:31:51Z</dcterms:created>
  <dcterms:modified xsi:type="dcterms:W3CDTF">2026-03-02T15:31:51Z</dcterms:modified>
</cp:coreProperties>
</file>