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311785</wp:posOffset>
            </wp:positionV>
            <wp:extent cx="629221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292215" cy="43180"/>
                    </a:xfrm>
                    <a:prstGeom prst="rect">
                      <a:avLst/>
                    </a:prstGeom>
                    <a:noFill/>
                  </pic:spPr>
                </pic:pic>
              </a:graphicData>
            </a:graphic>
          </wp:anchor>
        </w:drawing>
        <w:t>UNITED STATES</w:t>
      </w:r>
    </w:p>
    <w:p>
      <w:pPr>
        <w:spacing w:after="0" w:line="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173990</wp:posOffset>
            </wp:positionV>
            <wp:extent cx="1320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SCHEDULE 13G</w:t>
      </w:r>
    </w:p>
    <w:p>
      <w:pPr>
        <w:spacing w:after="0" w:line="21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9"/>
          <w:szCs w:val="19"/>
          <w:b w:val="1"/>
          <w:bCs w:val="1"/>
          <w:color w:val="auto"/>
        </w:rPr>
        <w:t>Under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154940</wp:posOffset>
            </wp:positionV>
            <wp:extent cx="132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5"/>
          <w:szCs w:val="35"/>
          <w:b w:val="1"/>
          <w:bCs w:val="1"/>
          <w:color w:val="auto"/>
        </w:rPr>
        <w:t>Life360, Inc.</w:t>
      </w:r>
    </w:p>
    <w:p>
      <w:pPr>
        <w:spacing w:after="0" w:line="6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(Name of Issuer)</w:t>
      </w:r>
    </w:p>
    <w:p>
      <w:pPr>
        <w:spacing w:after="0" w:line="26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p>
      <w:pPr>
        <w:spacing w:after="0" w:line="1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28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532206 109</w:t>
      </w:r>
    </w:p>
    <w:p>
      <w:pPr>
        <w:spacing w:after="0" w:line="1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3"/>
          <w:szCs w:val="13"/>
          <w:b w:val="1"/>
          <w:bCs w:val="1"/>
          <w:color w:val="auto"/>
        </w:rPr>
        <w:t>(CUSIP Number)</w:t>
      </w:r>
    </w:p>
    <w:p>
      <w:pPr>
        <w:spacing w:after="0" w:line="28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130810</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181" w:lineRule="exact"/>
        <w:rPr>
          <w:sz w:val="24"/>
          <w:szCs w:val="24"/>
          <w:color w:val="auto"/>
        </w:rPr>
      </w:pPr>
    </w:p>
    <w:p>
      <w:pPr>
        <w:ind w:left="600" w:hanging="211"/>
        <w:spacing w:after="0"/>
        <w:tabs>
          <w:tab w:leader="none" w:pos="600" w:val="left"/>
        </w:tabs>
        <w:numPr>
          <w:ilvl w:val="2"/>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13d-l(b)</w:t>
      </w:r>
    </w:p>
    <w:p>
      <w:pPr>
        <w:spacing w:after="0" w:line="194" w:lineRule="exact"/>
        <w:rPr>
          <w:rFonts w:ascii="MS PGothic" w:cs="MS PGothic" w:eastAsia="MS PGothic" w:hAnsi="MS PGothic"/>
          <w:sz w:val="16"/>
          <w:szCs w:val="16"/>
          <w:color w:val="auto"/>
        </w:rPr>
      </w:pPr>
    </w:p>
    <w:p>
      <w:pPr>
        <w:ind w:left="600" w:hanging="211"/>
        <w:spacing w:after="0"/>
        <w:tabs>
          <w:tab w:leader="none" w:pos="600" w:val="left"/>
        </w:tabs>
        <w:numPr>
          <w:ilvl w:val="2"/>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13d-l(c)</w:t>
      </w:r>
    </w:p>
    <w:p>
      <w:pPr>
        <w:spacing w:after="0" w:line="180" w:lineRule="exact"/>
        <w:rPr>
          <w:rFonts w:ascii="MS PGothic" w:cs="MS PGothic" w:eastAsia="MS PGothic" w:hAnsi="MS PGothic"/>
          <w:sz w:val="16"/>
          <w:szCs w:val="16"/>
          <w:color w:val="auto"/>
        </w:rPr>
      </w:pPr>
    </w:p>
    <w:p>
      <w:pPr>
        <w:ind w:left="580" w:hanging="192"/>
        <w:spacing w:after="0"/>
        <w:tabs>
          <w:tab w:leader="none" w:pos="58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13d-l(d)</w:t>
      </w:r>
    </w:p>
    <w:p>
      <w:pPr>
        <w:spacing w:after="0" w:line="288" w:lineRule="exact"/>
        <w:rPr>
          <w:rFonts w:ascii="MS PGothic" w:cs="MS PGothic" w:eastAsia="MS PGothic" w:hAnsi="MS PGothic"/>
          <w:sz w:val="16"/>
          <w:szCs w:val="16"/>
          <w:color w:val="auto"/>
        </w:rPr>
      </w:pPr>
    </w:p>
    <w:p>
      <w:pPr>
        <w:ind w:left="380" w:right="140" w:hanging="389"/>
        <w:spacing w:after="0" w:line="280" w:lineRule="auto"/>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-15240</wp:posOffset>
            </wp:positionV>
            <wp:extent cx="629221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43180"/>
                    </a:xfrm>
                    <a:prstGeom prst="rect">
                      <a:avLst/>
                    </a:prstGeom>
                    <a:noFill/>
                  </pic:spPr>
                </pic:pic>
              </a:graphicData>
            </a:graphic>
          </wp:anchor>
        </w:drawing>
      </w:r>
    </w:p>
    <w:p>
      <w:pPr>
        <w:sectPr>
          <w:pgSz w:w="11900" w:h="16838" w:orient="portrait"/>
          <w:cols w:equalWidth="0" w:num="1">
            <w:col w:w="10620"/>
          </w:cols>
          <w:pgMar w:left="440" w:top="790"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16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CUSIP No. 532206 109</w:t>
            </w:r>
          </w:p>
        </w:tc>
        <w:tc>
          <w:tcPr>
            <w:tcW w:w="28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SCHEDULE 13G</w:t>
            </w:r>
          </w:p>
        </w:tc>
        <w:tc>
          <w:tcPr>
            <w:tcW w:w="6480" w:type="dxa"/>
            <w:vAlign w:val="bottom"/>
          </w:tcPr>
          <w:p>
            <w:pPr>
              <w:jc w:val="right"/>
              <w:ind w:right="59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519"/>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4"/>
          </w:tcPr>
          <w:p>
            <w:pPr>
              <w:spacing w:after="0"/>
              <w:rPr>
                <w:sz w:val="24"/>
                <w:szCs w:val="24"/>
                <w:color w:val="auto"/>
              </w:rPr>
            </w:pPr>
          </w:p>
        </w:tc>
        <w:tc>
          <w:tcPr>
            <w:tcW w:w="6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34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40" w:type="dxa"/>
            <w:vAlign w:val="bottom"/>
            <w:tcBorders>
              <w:top w:val="single" w:sz="8" w:color="auto"/>
              <w:right w:val="single" w:sz="8" w:color="auto"/>
            </w:tcBorders>
          </w:tcPr>
          <w:p>
            <w:pPr>
              <w:spacing w:after="0"/>
              <w:rPr>
                <w:sz w:val="17"/>
                <w:szCs w:val="17"/>
                <w:color w:val="auto"/>
              </w:rPr>
            </w:pPr>
          </w:p>
        </w:tc>
        <w:tc>
          <w:tcPr>
            <w:tcW w:w="386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64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Chris Hulls</w:t>
            </w:r>
          </w:p>
        </w:tc>
        <w:tc>
          <w:tcPr>
            <w:tcW w:w="2800" w:type="dxa"/>
            <w:vAlign w:val="bottom"/>
          </w:tcPr>
          <w:p>
            <w:pPr>
              <w:spacing w:after="0"/>
              <w:rPr>
                <w:sz w:val="24"/>
                <w:szCs w:val="24"/>
                <w:color w:val="auto"/>
              </w:rPr>
            </w:pP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3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40" w:type="dxa"/>
            <w:vAlign w:val="bottom"/>
            <w:tcBorders>
              <w:right w:val="single" w:sz="8" w:color="auto"/>
            </w:tcBorders>
          </w:tcPr>
          <w:p>
            <w:pPr>
              <w:spacing w:after="0"/>
              <w:rPr>
                <w:sz w:val="13"/>
                <w:szCs w:val="13"/>
                <w:color w:val="auto"/>
              </w:rPr>
            </w:pPr>
          </w:p>
        </w:tc>
        <w:tc>
          <w:tcPr>
            <w:tcW w:w="340" w:type="dxa"/>
            <w:vAlign w:val="bottom"/>
          </w:tcPr>
          <w:p>
            <w:pPr>
              <w:jc w:val="center"/>
              <w:ind w:left="19"/>
              <w:spacing w:after="0" w:line="155" w:lineRule="exact"/>
              <w:rPr>
                <w:sz w:val="20"/>
                <w:szCs w:val="20"/>
                <w:color w:val="auto"/>
              </w:rPr>
            </w:pPr>
            <w:r>
              <w:rPr>
                <w:rFonts w:ascii="Times New Roman" w:cs="Times New Roman" w:eastAsia="Times New Roman" w:hAnsi="Times New Roman"/>
                <w:sz w:val="16"/>
                <w:szCs w:val="16"/>
                <w:color w:val="auto"/>
                <w:w w:val="99"/>
              </w:rPr>
              <w:t>2.</w:t>
            </w:r>
          </w:p>
        </w:tc>
        <w:tc>
          <w:tcPr>
            <w:tcW w:w="140" w:type="dxa"/>
            <w:vAlign w:val="bottom"/>
            <w:tcBorders>
              <w:right w:val="single" w:sz="8" w:color="auto"/>
            </w:tcBorders>
          </w:tcPr>
          <w:p>
            <w:pPr>
              <w:spacing w:after="0"/>
              <w:rPr>
                <w:sz w:val="13"/>
                <w:szCs w:val="13"/>
                <w:color w:val="auto"/>
              </w:rPr>
            </w:pPr>
          </w:p>
        </w:tc>
        <w:tc>
          <w:tcPr>
            <w:tcW w:w="10340" w:type="dxa"/>
            <w:vAlign w:val="bottom"/>
            <w:tcBorders>
              <w:right w:val="single" w:sz="8" w:color="auto"/>
            </w:tcBorders>
            <w:gridSpan w:val="5"/>
          </w:tcPr>
          <w:p>
            <w:pPr>
              <w:ind w:left="120"/>
              <w:spacing w:after="0" w:line="155" w:lineRule="exact"/>
              <w:rPr>
                <w:sz w:val="20"/>
                <w:szCs w:val="20"/>
                <w:color w:val="auto"/>
              </w:rPr>
            </w:pPr>
            <w:r>
              <w:rPr>
                <w:rFonts w:ascii="Times New Roman" w:cs="Times New Roman" w:eastAsia="Times New Roman" w:hAnsi="Times New Roman"/>
                <w:sz w:val="16"/>
                <w:szCs w:val="16"/>
                <w:color w:val="auto"/>
              </w:rPr>
              <w:t>Check the Appropriate Box if a Member of a Group (See Instructions)</w:t>
            </w:r>
          </w:p>
        </w:tc>
        <w:tc>
          <w:tcPr>
            <w:tcW w:w="0" w:type="dxa"/>
            <w:vAlign w:val="bottom"/>
          </w:tcPr>
          <w:p>
            <w:pPr>
              <w:spacing w:after="0"/>
              <w:rPr>
                <w:sz w:val="1"/>
                <w:szCs w:val="1"/>
                <w:color w:val="auto"/>
              </w:rPr>
            </w:pPr>
          </w:p>
        </w:tc>
      </w:tr>
      <w:tr>
        <w:trPr>
          <w:trHeight w:val="270"/>
        </w:trPr>
        <w:tc>
          <w:tcPr>
            <w:tcW w:w="140" w:type="dxa"/>
            <w:vAlign w:val="bottom"/>
            <w:tcBorders>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tcBorders>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460" w:type="dxa"/>
            <w:vAlign w:val="bottom"/>
            <w:tcBorders>
              <w:bottom w:val="single" w:sz="8" w:color="auto"/>
            </w:tcBorders>
            <w:gridSpan w:val="2"/>
          </w:tcPr>
          <w:p>
            <w:pPr>
              <w:ind w:left="60"/>
              <w:spacing w:after="0" w:line="184" w:lineRule="exact"/>
              <w:rPr>
                <w:sz w:val="20"/>
                <w:szCs w:val="20"/>
                <w:color w:val="auto"/>
              </w:rPr>
            </w:pPr>
            <w:r>
              <w:rPr>
                <w:rFonts w:ascii="Times New Roman" w:cs="Times New Roman" w:eastAsia="Times New Roman" w:hAnsi="Times New Roman"/>
                <w:sz w:val="16"/>
                <w:szCs w:val="16"/>
                <w:color w:val="auto"/>
                <w:w w:val="98"/>
              </w:rPr>
              <w:t xml:space="preserve">(b) </w:t>
            </w:r>
            <w:r>
              <w:rPr>
                <w:rFonts w:ascii="MS PGothic" w:cs="MS PGothic" w:eastAsia="MS PGothic" w:hAnsi="MS PGothic"/>
                <w:sz w:val="16"/>
                <w:szCs w:val="16"/>
                <w:color w:val="auto"/>
                <w:w w:val="98"/>
              </w:rPr>
              <w:t>☐</w:t>
            </w:r>
          </w:p>
        </w:tc>
        <w:tc>
          <w:tcPr>
            <w:tcW w:w="2800" w:type="dxa"/>
            <w:vAlign w:val="bottom"/>
            <w:tcBorders>
              <w:bottom w:val="single" w:sz="8" w:color="auto"/>
            </w:tcBorders>
          </w:tcPr>
          <w:p>
            <w:pPr>
              <w:spacing w:after="0"/>
              <w:rPr>
                <w:sz w:val="23"/>
                <w:szCs w:val="23"/>
                <w:color w:val="auto"/>
              </w:rPr>
            </w:pPr>
          </w:p>
        </w:tc>
        <w:tc>
          <w:tcPr>
            <w:tcW w:w="64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3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c>
          <w:tcPr>
            <w:tcW w:w="1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color w:val="auto"/>
              </w:rPr>
              <w:t>SEC Use Only</w:t>
            </w:r>
          </w:p>
        </w:tc>
        <w:tc>
          <w:tcPr>
            <w:tcW w:w="6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tcBorders>
              <w:right w:val="single" w:sz="8" w:color="auto"/>
            </w:tcBorders>
          </w:tcPr>
          <w:p>
            <w:pPr>
              <w:spacing w:after="0"/>
              <w:rPr>
                <w:sz w:val="18"/>
                <w:szCs w:val="18"/>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6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Sole Voting Power</w:t>
            </w: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4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3,764,618 (1)(2)</w:t>
            </w: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1080" w:type="dxa"/>
            <w:vAlign w:val="bottom"/>
            <w:tcBorders>
              <w:right w:val="single" w:sz="8" w:color="auto"/>
            </w:tcBorders>
            <w:gridSpan w:val="3"/>
            <w:vMerge w:val="continue"/>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14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4"/>
                <w:szCs w:val="4"/>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Shared Voting Power</w:t>
            </w:r>
          </w:p>
        </w:tc>
        <w:tc>
          <w:tcPr>
            <w:tcW w:w="6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34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6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Beneficially</w:t>
            </w:r>
          </w:p>
        </w:tc>
        <w:tc>
          <w:tcPr>
            <w:tcW w:w="3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3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0</w:t>
            </w:r>
          </w:p>
        </w:tc>
        <w:tc>
          <w:tcPr>
            <w:tcW w:w="6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4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Borders>
              <w:right w:val="single" w:sz="8" w:color="auto"/>
            </w:tcBorders>
            <w:gridSpan w:val="2"/>
            <w:vMerge w:val="restart"/>
          </w:tcPr>
          <w:p>
            <w:pPr>
              <w:jc w:val="center"/>
              <w:ind w:right="299"/>
              <w:spacing w:after="0"/>
              <w:rPr>
                <w:sz w:val="20"/>
                <w:szCs w:val="20"/>
                <w:color w:val="auto"/>
              </w:rPr>
            </w:pPr>
            <w:r>
              <w:rPr>
                <w:rFonts w:ascii="Times New Roman" w:cs="Times New Roman" w:eastAsia="Times New Roman" w:hAnsi="Times New Roman"/>
                <w:sz w:val="16"/>
                <w:szCs w:val="16"/>
                <w:color w:val="auto"/>
                <w:w w:val="99"/>
              </w:rPr>
              <w:t>Each</w:t>
            </w:r>
          </w:p>
        </w:tc>
        <w:tc>
          <w:tcPr>
            <w:tcW w:w="3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8"/>
                <w:szCs w:val="8"/>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Sole Dispositive Power</w:t>
            </w:r>
          </w:p>
        </w:tc>
        <w:tc>
          <w:tcPr>
            <w:tcW w:w="6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Reporting</w:t>
            </w:r>
          </w:p>
        </w:tc>
        <w:tc>
          <w:tcPr>
            <w:tcW w:w="34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6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gridSpan w:val="3"/>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6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Person With:</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3,764,618 (1)(2)</w:t>
            </w:r>
          </w:p>
        </w:tc>
        <w:tc>
          <w:tcPr>
            <w:tcW w:w="6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6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Shared Dispositive Power</w:t>
            </w: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0</w:t>
            </w: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94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tcBorders>
              <w:right w:val="single" w:sz="8" w:color="auto"/>
            </w:tcBorders>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w:t>
            </w:r>
          </w:p>
        </w:tc>
        <w:tc>
          <w:tcPr>
            <w:tcW w:w="9400" w:type="dxa"/>
            <w:vAlign w:val="bottom"/>
            <w:tcBorders>
              <w:right w:val="single" w:sz="8" w:color="auto"/>
            </w:tcBorders>
            <w:gridSpan w:val="3"/>
          </w:tcPr>
          <w:p>
            <w:pPr>
              <w:jc w:val="right"/>
              <w:ind w:right="5819"/>
              <w:spacing w:after="0"/>
              <w:rPr>
                <w:sz w:val="20"/>
                <w:szCs w:val="20"/>
                <w:color w:val="auto"/>
              </w:rPr>
            </w:pPr>
            <w:r>
              <w:rPr>
                <w:rFonts w:ascii="Times New Roman" w:cs="Times New Roman" w:eastAsia="Times New Roman" w:hAnsi="Times New Roman"/>
                <w:sz w:val="16"/>
                <w:szCs w:val="16"/>
                <w:color w:val="auto"/>
                <w:w w:val="97"/>
              </w:rPr>
              <w:t>Amount Beneficially Owned by Each Reporting Person</w:t>
            </w:r>
          </w:p>
        </w:tc>
        <w:tc>
          <w:tcPr>
            <w:tcW w:w="0" w:type="dxa"/>
            <w:vAlign w:val="bottom"/>
          </w:tcPr>
          <w:p>
            <w:pPr>
              <w:spacing w:after="0"/>
              <w:rPr>
                <w:sz w:val="1"/>
                <w:szCs w:val="1"/>
                <w:color w:val="auto"/>
              </w:rPr>
            </w:pPr>
          </w:p>
        </w:tc>
      </w:tr>
      <w:tr>
        <w:trPr>
          <w:trHeight w:val="472"/>
        </w:trPr>
        <w:tc>
          <w:tcPr>
            <w:tcW w:w="1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3,764,618 (1)(2)</w:t>
            </w: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10.</w:t>
            </w:r>
          </w:p>
        </w:tc>
        <w:tc>
          <w:tcPr>
            <w:tcW w:w="140" w:type="dxa"/>
            <w:vAlign w:val="bottom"/>
            <w:tcBorders>
              <w:right w:val="single" w:sz="8" w:color="auto"/>
            </w:tcBorders>
          </w:tcPr>
          <w:p>
            <w:pPr>
              <w:spacing w:after="0"/>
              <w:rPr>
                <w:sz w:val="17"/>
                <w:szCs w:val="17"/>
                <w:color w:val="auto"/>
              </w:rPr>
            </w:pPr>
          </w:p>
        </w:tc>
        <w:tc>
          <w:tcPr>
            <w:tcW w:w="1034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75"/>
        </w:trPr>
        <w:tc>
          <w:tcPr>
            <w:tcW w:w="1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6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40" w:type="dxa"/>
            <w:vAlign w:val="bottom"/>
            <w:tcBorders>
              <w:right w:val="single" w:sz="8" w:color="auto"/>
            </w:tcBorders>
          </w:tcPr>
          <w:p>
            <w:pPr>
              <w:spacing w:after="0"/>
              <w:rPr>
                <w:sz w:val="18"/>
                <w:szCs w:val="18"/>
                <w:color w:val="auto"/>
              </w:rPr>
            </w:pP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c>
          <w:tcPr>
            <w:tcW w:w="140" w:type="dxa"/>
            <w:vAlign w:val="bottom"/>
            <w:tcBorders>
              <w:right w:val="single" w:sz="8" w:color="auto"/>
            </w:tcBorders>
          </w:tcPr>
          <w:p>
            <w:pPr>
              <w:spacing w:after="0"/>
              <w:rPr>
                <w:sz w:val="18"/>
                <w:szCs w:val="18"/>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6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4.9% (3)</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tcBorders>
              <w:right w:val="single" w:sz="8" w:color="auto"/>
            </w:tcBorders>
          </w:tcPr>
          <w:p>
            <w:pPr>
              <w:spacing w:after="0"/>
              <w:rPr>
                <w:sz w:val="17"/>
                <w:szCs w:val="17"/>
                <w:color w:val="auto"/>
              </w:rPr>
            </w:pPr>
          </w:p>
        </w:tc>
        <w:tc>
          <w:tcPr>
            <w:tcW w:w="3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Type of Reporting Person (See Instructions)</w:t>
            </w: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500" w:right="40" w:hanging="389"/>
        <w:spacing w:after="0" w:line="257" w:lineRule="auto"/>
        <w:tabs>
          <w:tab w:leader="none" w:pos="48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904,911 shares of common stock held of record by Mr. Hulls, (ii) 845,998 shares of common stock underlying 2,537,995 CHESS Depositary Interests (“CDIs”) held of record by Mr. Hulls, (iii) 1,846 shares of common stock held of record by ICCA Labs, LLC, of which Mr. Hulls is a member, (iv) 2,001,857 shares of common stock issuable to Mr. Hulls upon the exercise of stock options that are exercisable within 60 days of September 30, 2024, and (v) 10,006 shares of common stock issuable to Mr. Hulls upon the vesting of restricted stock units within 60 days of September 30, 2024 but will not be issued within 60 days of September 30, 2024 for administrative reasons. Mr. Hulls is a member of ICCA Labs, LLC and the number of shares reported herein represents his proportionate ownership interest in ICCA Labs, LLC.</w:t>
      </w:r>
    </w:p>
    <w:p>
      <w:pPr>
        <w:ind w:left="500" w:right="480" w:hanging="389"/>
        <w:spacing w:after="0" w:line="252" w:lineRule="auto"/>
        <w:tabs>
          <w:tab w:leader="none" w:pos="48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CDIs are units of beneficial ownership in shares of common stock held by CHESS Depositary Nominees Pty Limited, a subsidiary of ASX Limited, the company that operates the Australian Securities Exchange. The CDIs entitle holders to dividends, if any, and other rights economically equivalent to shares of common stock on a 3 CDIs-for-1 common stock basis.</w:t>
      </w:r>
    </w:p>
    <w:p>
      <w:pPr>
        <w:ind w:left="480" w:hanging="369"/>
        <w:spacing w:after="0"/>
        <w:tabs>
          <w:tab w:leader="none" w:pos="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calculation is based on dividing (i) the aggregate number of shares of common stock beneficially owned by Mr. Hulls as set forth in Row 9 by</w:t>
      </w:r>
    </w:p>
    <w:p>
      <w:pPr>
        <w:spacing w:after="0" w:line="18" w:lineRule="exact"/>
        <w:rPr>
          <w:rFonts w:ascii="Times New Roman" w:cs="Times New Roman" w:eastAsia="Times New Roman" w:hAnsi="Times New Roman"/>
          <w:sz w:val="16"/>
          <w:szCs w:val="16"/>
          <w:color w:val="auto"/>
        </w:rPr>
      </w:pPr>
    </w:p>
    <w:p>
      <w:pPr>
        <w:jc w:val="both"/>
        <w:ind w:left="500"/>
        <w:spacing w:after="0" w:line="260" w:lineRule="auto"/>
        <w:tabs>
          <w:tab w:leader="none" w:pos="738"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(a) 74,664,748 shares of common stock outstanding as of September 30, 2024 as reported by the Issuer to Mr. Hulls, including shares underlying all issued and outstanding CDIs, (b) 2,001,857 shares of common stock issuable to Mr. Hulls upon the exercise of stock options that are exercisable within 60 days of September 30, 2024, and (c) 10,006 shares of common stock issuable to Mr. Hulls upon the vesting of restricted stock units within 60 days of September 30, 2024 but will not be issued within 60 days of September 30, 2024 for administrative reasons.</w:t>
      </w:r>
    </w:p>
    <w:p>
      <w:pPr>
        <w:sectPr>
          <w:pgSz w:w="11900" w:h="16838" w:orient="portrait"/>
          <w:cols w:equalWidth="0" w:num="1">
            <w:col w:w="11040"/>
          </w:cols>
          <w:pgMar w:left="320" w:top="220" w:right="539" w:bottom="1440" w:gutter="0" w:footer="0" w:header="0"/>
        </w:sectPr>
      </w:pPr>
    </w:p>
    <w:bookmarkStart w:id="2" w:name="page3"/>
    <w:bookmarkEnd w:id="2"/>
    <w:p>
      <w:pPr>
        <w:spacing w:after="0"/>
        <w:tabs>
          <w:tab w:leader="none" w:pos="2500" w:val="left"/>
          <w:tab w:leader="none" w:pos="4800" w:val="left"/>
        </w:tabs>
        <w:rPr>
          <w:sz w:val="20"/>
          <w:szCs w:val="20"/>
          <w:color w:val="auto"/>
        </w:rPr>
      </w:pPr>
      <w:r>
        <w:rPr>
          <w:rFonts w:ascii="Times New Roman" w:cs="Times New Roman" w:eastAsia="Times New Roman" w:hAnsi="Times New Roman"/>
          <w:sz w:val="16"/>
          <w:szCs w:val="16"/>
          <w:color w:val="auto"/>
        </w:rPr>
        <w:t>CUSIP No. 532206 109</w:t>
      </w:r>
      <w:r>
        <w:rPr>
          <w:sz w:val="20"/>
          <w:szCs w:val="20"/>
          <w:color w:val="auto"/>
        </w:rPr>
        <w:tab/>
      </w:r>
      <w:r>
        <w:rPr>
          <w:rFonts w:ascii="Times New Roman" w:cs="Times New Roman" w:eastAsia="Times New Roman" w:hAnsi="Times New Roman"/>
          <w:sz w:val="16"/>
          <w:szCs w:val="16"/>
          <w:color w:val="auto"/>
        </w:rPr>
        <w:t>SCHEDULE 13G</w:t>
      </w:r>
      <w:r>
        <w:rPr>
          <w:sz w:val="20"/>
          <w:szCs w:val="20"/>
          <w:color w:val="auto"/>
        </w:rPr>
        <w:tab/>
      </w:r>
      <w:r>
        <w:rPr>
          <w:rFonts w:ascii="Times New Roman" w:cs="Times New Roman" w:eastAsia="Times New Roman" w:hAnsi="Times New Roman"/>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1.</w:t>
      </w:r>
    </w:p>
    <w:p>
      <w:pPr>
        <w:spacing w:after="0" w:line="169" w:lineRule="exact"/>
        <w:rPr>
          <w:sz w:val="20"/>
          <w:szCs w:val="20"/>
          <w:color w:val="auto"/>
        </w:rPr>
      </w:pPr>
    </w:p>
    <w:p>
      <w:pPr>
        <w:ind w:left="1000" w:hanging="500"/>
        <w:spacing w:after="0"/>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Issuer: Life360, Inc.</w:t>
      </w:r>
    </w:p>
    <w:p>
      <w:pPr>
        <w:spacing w:after="0" w:line="86" w:lineRule="exact"/>
        <w:rPr>
          <w:rFonts w:ascii="Times New Roman" w:cs="Times New Roman" w:eastAsia="Times New Roman" w:hAnsi="Times New Roman"/>
          <w:sz w:val="16"/>
          <w:szCs w:val="16"/>
          <w:color w:val="auto"/>
        </w:rPr>
      </w:pPr>
    </w:p>
    <w:p>
      <w:pPr>
        <w:ind w:left="980" w:hanging="480"/>
        <w:spacing w:after="0"/>
        <w:tabs>
          <w:tab w:leader="none" w:pos="9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w:t>
      </w:r>
    </w:p>
    <w:p>
      <w:pPr>
        <w:spacing w:after="0" w:line="113"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1900 South Norfolk Street, Suite 310, San Mateo, CA 94403</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2.</w:t>
      </w:r>
    </w:p>
    <w:p>
      <w:pPr>
        <w:spacing w:after="0" w:line="129" w:lineRule="exact"/>
        <w:rPr>
          <w:sz w:val="20"/>
          <w:szCs w:val="20"/>
          <w:color w:val="auto"/>
        </w:rPr>
      </w:pPr>
    </w:p>
    <w:p>
      <w:pPr>
        <w:ind w:left="1000" w:right="7639" w:hanging="500"/>
        <w:spacing w:after="0" w:line="396" w:lineRule="auto"/>
        <w:tabs>
          <w:tab w:leader="none" w:pos="97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Person Filing: Chris Hulls</w:t>
      </w:r>
    </w:p>
    <w:p>
      <w:pPr>
        <w:ind w:left="980" w:hanging="480"/>
        <w:spacing w:after="0"/>
        <w:tabs>
          <w:tab w:leader="none" w:pos="9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Principal Business Office or, if none, Residence:</w:t>
      </w:r>
    </w:p>
    <w:p>
      <w:pPr>
        <w:spacing w:after="0" w:line="113"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the principal business office of the Reporting Person is 1900 South Norfolk Street, Suite 310, San Mateo, CA 94403</w:t>
      </w:r>
    </w:p>
    <w:p>
      <w:pPr>
        <w:spacing w:after="0" w:line="126" w:lineRule="exact"/>
        <w:rPr>
          <w:rFonts w:ascii="Times New Roman" w:cs="Times New Roman" w:eastAsia="Times New Roman" w:hAnsi="Times New Roman"/>
          <w:sz w:val="16"/>
          <w:szCs w:val="16"/>
          <w:color w:val="auto"/>
        </w:rPr>
      </w:pPr>
    </w:p>
    <w:p>
      <w:pPr>
        <w:ind w:left="980" w:hanging="480"/>
        <w:spacing w:after="0"/>
        <w:tabs>
          <w:tab w:leader="none" w:pos="9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w:t>
      </w:r>
    </w:p>
    <w:p>
      <w:pPr>
        <w:spacing w:after="0" w:line="200" w:lineRule="exact"/>
        <w:rPr>
          <w:sz w:val="20"/>
          <w:szCs w:val="20"/>
          <w:color w:val="auto"/>
        </w:rPr>
      </w:pPr>
    </w:p>
    <w:p>
      <w:pPr>
        <w:spacing w:after="0" w:line="224" w:lineRule="exact"/>
        <w:rPr>
          <w:sz w:val="20"/>
          <w:szCs w:val="20"/>
          <w:color w:val="auto"/>
        </w:rPr>
      </w:pPr>
    </w:p>
    <w:p>
      <w:pPr>
        <w:ind w:left="980" w:hanging="480"/>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w:t>
      </w:r>
    </w:p>
    <w:p>
      <w:pPr>
        <w:spacing w:after="0" w:line="12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$0.001 par value per share</w:t>
      </w:r>
    </w:p>
    <w:p>
      <w:pPr>
        <w:spacing w:after="0" w:line="126" w:lineRule="exact"/>
        <w:rPr>
          <w:rFonts w:ascii="Times New Roman" w:cs="Times New Roman" w:eastAsia="Times New Roman" w:hAnsi="Times New Roman"/>
          <w:sz w:val="16"/>
          <w:szCs w:val="16"/>
          <w:color w:val="auto"/>
        </w:rPr>
      </w:pPr>
    </w:p>
    <w:p>
      <w:pPr>
        <w:ind w:left="980" w:hanging="480"/>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w:t>
      </w:r>
    </w:p>
    <w:p>
      <w:pPr>
        <w:spacing w:after="0" w:line="1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532206 109</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3. If this statement is filed pursuant to Rules 13d-1(b), or 13d-2(b) or (c), check whether the person filing is a:</w:t>
      </w:r>
    </w:p>
    <w:p>
      <w:pPr>
        <w:spacing w:after="0" w:line="1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Not applicable.</w:t>
      </w:r>
    </w:p>
    <w:p>
      <w:pPr>
        <w:spacing w:after="0" w:line="3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Item 4. Ownership.</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Provide the following information regarding the aggregate number and percentage of the class of securities of the issuer identified in Item 1.</w:t>
      </w:r>
    </w:p>
    <w:p>
      <w:pPr>
        <w:spacing w:after="0" w:line="127" w:lineRule="exact"/>
        <w:rPr>
          <w:sz w:val="20"/>
          <w:szCs w:val="20"/>
          <w:color w:val="auto"/>
        </w:rPr>
      </w:pPr>
    </w:p>
    <w:p>
      <w:pPr>
        <w:ind w:left="980" w:hanging="480"/>
        <w:spacing w:after="0"/>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See row 9 of the cover page.</w:t>
      </w:r>
    </w:p>
    <w:p>
      <w:pPr>
        <w:spacing w:after="0" w:line="126" w:lineRule="exact"/>
        <w:rPr>
          <w:rFonts w:ascii="Times New Roman" w:cs="Times New Roman" w:eastAsia="Times New Roman" w:hAnsi="Times New Roman"/>
          <w:sz w:val="16"/>
          <w:szCs w:val="16"/>
          <w:color w:val="auto"/>
        </w:rPr>
      </w:pPr>
    </w:p>
    <w:p>
      <w:pPr>
        <w:ind w:left="980" w:hanging="480"/>
        <w:spacing w:after="0"/>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See Row 11 of the cover page.</w:t>
      </w:r>
    </w:p>
    <w:p>
      <w:pPr>
        <w:spacing w:after="0" w:line="126" w:lineRule="exact"/>
        <w:rPr>
          <w:rFonts w:ascii="Times New Roman" w:cs="Times New Roman" w:eastAsia="Times New Roman" w:hAnsi="Times New Roman"/>
          <w:sz w:val="16"/>
          <w:szCs w:val="16"/>
          <w:color w:val="auto"/>
        </w:rPr>
      </w:pPr>
    </w:p>
    <w:p>
      <w:pPr>
        <w:ind w:left="980" w:hanging="480"/>
        <w:spacing w:after="0"/>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the person has:</w:t>
      </w:r>
    </w:p>
    <w:p>
      <w:pPr>
        <w:spacing w:after="0" w:line="302" w:lineRule="exact"/>
        <w:rPr>
          <w:rFonts w:ascii="Times New Roman" w:cs="Times New Roman" w:eastAsia="Times New Roman" w:hAnsi="Times New Roman"/>
          <w:sz w:val="16"/>
          <w:szCs w:val="16"/>
          <w:color w:val="auto"/>
        </w:rPr>
      </w:pPr>
    </w:p>
    <w:p>
      <w:pPr>
        <w:ind w:left="1200" w:hanging="189"/>
        <w:spacing w:after="0"/>
        <w:tabs>
          <w:tab w:leader="none" w:pos="12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Row 5 of the cover page.</w:t>
      </w:r>
    </w:p>
    <w:p>
      <w:pPr>
        <w:spacing w:after="0" w:line="113" w:lineRule="exact"/>
        <w:rPr>
          <w:rFonts w:ascii="Times New Roman" w:cs="Times New Roman" w:eastAsia="Times New Roman" w:hAnsi="Times New Roman"/>
          <w:sz w:val="16"/>
          <w:szCs w:val="16"/>
          <w:color w:val="auto"/>
        </w:rPr>
      </w:pPr>
    </w:p>
    <w:p>
      <w:pPr>
        <w:ind w:left="1240" w:hanging="229"/>
        <w:spacing w:after="0"/>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Row 6 of the cover page.</w:t>
      </w:r>
    </w:p>
    <w:p>
      <w:pPr>
        <w:spacing w:after="0" w:line="113" w:lineRule="exact"/>
        <w:rPr>
          <w:rFonts w:ascii="Times New Roman" w:cs="Times New Roman" w:eastAsia="Times New Roman" w:hAnsi="Times New Roman"/>
          <w:sz w:val="16"/>
          <w:szCs w:val="16"/>
          <w:color w:val="auto"/>
        </w:rPr>
      </w:pPr>
    </w:p>
    <w:p>
      <w:pPr>
        <w:ind w:left="1280" w:hanging="269"/>
        <w:spacing w:after="0"/>
        <w:tabs>
          <w:tab w:leader="none" w:pos="12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See Row 7 of the cover page.</w:t>
      </w:r>
    </w:p>
    <w:p>
      <w:pPr>
        <w:spacing w:after="0" w:line="113" w:lineRule="exact"/>
        <w:rPr>
          <w:rFonts w:ascii="Times New Roman" w:cs="Times New Roman" w:eastAsia="Times New Roman" w:hAnsi="Times New Roman"/>
          <w:sz w:val="16"/>
          <w:szCs w:val="16"/>
          <w:color w:val="auto"/>
        </w:rPr>
      </w:pPr>
    </w:p>
    <w:p>
      <w:pPr>
        <w:ind w:left="1280" w:hanging="269"/>
        <w:spacing w:after="0"/>
        <w:tabs>
          <w:tab w:leader="none" w:pos="12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See Row 8 of the cover page.</w:t>
      </w:r>
    </w:p>
    <w:p>
      <w:pPr>
        <w:sectPr>
          <w:pgSz w:w="11900" w:h="16838" w:orient="portrait"/>
          <w:cols w:equalWidth="0" w:num="1">
            <w:col w:w="10139"/>
          </w:cols>
          <w:pgMar w:left="320" w:top="220" w:right="1440" w:bottom="1440" w:gutter="0" w:footer="0" w:header="0"/>
        </w:sectPr>
      </w:pPr>
    </w:p>
    <w:bookmarkStart w:id="3" w:name="page4"/>
    <w:bookmarkEnd w:id="3"/>
    <w:p>
      <w:pPr>
        <w:spacing w:after="0"/>
        <w:tabs>
          <w:tab w:leader="none" w:pos="2500" w:val="left"/>
          <w:tab w:leader="none" w:pos="4800" w:val="left"/>
        </w:tabs>
        <w:rPr>
          <w:sz w:val="20"/>
          <w:szCs w:val="20"/>
          <w:color w:val="auto"/>
        </w:rPr>
      </w:pPr>
      <w:r>
        <w:rPr>
          <w:rFonts w:ascii="Times New Roman" w:cs="Times New Roman" w:eastAsia="Times New Roman" w:hAnsi="Times New Roman"/>
          <w:sz w:val="16"/>
          <w:szCs w:val="16"/>
          <w:color w:val="auto"/>
        </w:rPr>
        <w:t>CUSIP No. 532206 109</w:t>
      </w:r>
      <w:r>
        <w:rPr>
          <w:sz w:val="20"/>
          <w:szCs w:val="20"/>
          <w:color w:val="auto"/>
        </w:rPr>
        <w:tab/>
      </w:r>
      <w:r>
        <w:rPr>
          <w:rFonts w:ascii="Times New Roman" w:cs="Times New Roman" w:eastAsia="Times New Roman" w:hAnsi="Times New Roman"/>
          <w:sz w:val="16"/>
          <w:szCs w:val="16"/>
          <w:color w:val="auto"/>
        </w:rPr>
        <w:t>SCHEDULE 13G</w:t>
      </w:r>
      <w:r>
        <w:rPr>
          <w:sz w:val="20"/>
          <w:szCs w:val="20"/>
          <w:color w:val="auto"/>
        </w:rPr>
        <w:tab/>
      </w:r>
      <w:r>
        <w:rPr>
          <w:rFonts w:ascii="Times New Roman" w:cs="Times New Roman" w:eastAsia="Times New Roman" w:hAnsi="Times New Roman"/>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5. Ownership of Five Percent or Less of a Class.</w:t>
      </w:r>
    </w:p>
    <w:p>
      <w:pPr>
        <w:spacing w:after="0" w:line="115" w:lineRule="exact"/>
        <w:rPr>
          <w:sz w:val="20"/>
          <w:szCs w:val="20"/>
          <w:color w:val="auto"/>
        </w:rPr>
      </w:pPr>
    </w:p>
    <w:p>
      <w:pPr>
        <w:ind w:left="120" w:right="20" w:firstLine="396"/>
        <w:spacing w:after="0" w:line="206" w:lineRule="exact"/>
        <w:rPr>
          <w:sz w:val="20"/>
          <w:szCs w:val="20"/>
          <w:color w:val="auto"/>
        </w:rPr>
      </w:pPr>
      <w:r>
        <w:rPr>
          <w:rFonts w:ascii="Times New Roman" w:cs="Times New Roman" w:eastAsia="Times New Roman" w:hAnsi="Times New Roman"/>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6. Ownership of More than Five Percent on Behalf of Another Person.</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7. Identification and Classification of the Subsidiary Which Acquired the Security Being Reported on By the Parent Holding Company or Control Person.</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8. Identification and Classification of Members of the Group.</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9. Notice of Dissolution of Group.</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Not applicable.</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Item 10. Certifications.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100"/>
          </w:cols>
          <w:pgMar w:left="320" w:top="220" w:right="47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429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429375" cy="17145"/>
                    </a:xfrm>
                    <a:prstGeom prst="rect">
                      <a:avLst/>
                    </a:prstGeom>
                    <a:noFill/>
                  </pic:spPr>
                </pic:pic>
              </a:graphicData>
            </a:graphic>
          </wp:anchor>
        </w:drawing>
        <w:t>SIGNATURES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13, 2024</w:t>
      </w:r>
    </w:p>
    <w:p>
      <w:pPr>
        <w:spacing w:after="0" w:line="2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b w:val="1"/>
          <w:bCs w:val="1"/>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184785</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/s/ Chris Hulls An individual</w:t>
      </w:r>
    </w:p>
    <w:sectPr>
      <w:pgSz w:w="11900" w:h="16838" w:orient="portrait"/>
      <w:cols w:equalWidth="0" w:num="1">
        <w:col w:w="9960"/>
      </w:cols>
      <w:pgMar w:left="820" w:top="38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Roman"/>
      <w:start w:val="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2024-11-13T15:00:51Z</dcterms:created>
  <dcterms:modified xsi:type="dcterms:W3CDTF">2024-11-13T15:00:51Z</dcterms:modified>
</cp:coreProperties>
</file>