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6946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69468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Hulls Chris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LIFE360,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1900 SOUTH NORFOLK STREET, SUITE 310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SAN MATEO</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94403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Life360,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NONE</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80" w:type="dxa"/>
            <w:vAlign w:val="bottom"/>
            <w:tcBorders>
              <w:bottom w:val="single" w:sz="8" w:color="0000EE"/>
            </w:tcBorders>
          </w:tcPr>
          <w:p>
            <w:pPr>
              <w:spacing w:after="0"/>
              <w:rPr>
                <w:sz w:val="3"/>
                <w:szCs w:val="3"/>
                <w:color w:val="auto"/>
              </w:rPr>
            </w:pPr>
          </w:p>
        </w:tc>
        <w:tc>
          <w:tcPr>
            <w:tcW w:w="2640" w:type="dxa"/>
            <w:vAlign w:val="bottom"/>
          </w:tcPr>
          <w:p>
            <w:pPr>
              <w:spacing w:after="0"/>
              <w:rPr>
                <w:sz w:val="3"/>
                <w:szCs w:val="3"/>
                <w:color w:val="auto"/>
              </w:rPr>
            </w:pPr>
          </w:p>
        </w:tc>
        <w:tc>
          <w:tcPr>
            <w:tcW w:w="1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264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1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12/08/2023</w:t>
            </w:r>
          </w:p>
        </w:tc>
        <w:tc>
          <w:tcPr>
            <w:tcW w:w="2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60" w:type="dxa"/>
            <w:vAlign w:val="bottom"/>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180" w:type="dxa"/>
            <w:vAlign w:val="bottom"/>
            <w:gridSpan w:val="3"/>
            <w:vMerge w:val="continue"/>
          </w:tcPr>
          <w:p>
            <w:pPr>
              <w:spacing w:after="0"/>
              <w:rPr>
                <w:sz w:val="11"/>
                <w:szCs w:val="11"/>
                <w:color w:val="auto"/>
              </w:rPr>
            </w:pPr>
          </w:p>
        </w:tc>
        <w:tc>
          <w:tcPr>
            <w:tcW w:w="26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8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12/08/2023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3,696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14.03</w:t>
            </w:r>
          </w:p>
        </w:tc>
        <w:tc>
          <w:tcPr>
            <w:tcW w:w="1200" w:type="dxa"/>
            <w:vAlign w:val="bottom"/>
            <w:tcBorders>
              <w:bottom w:val="single" w:sz="8" w:color="2C2C2C"/>
            </w:tcBorders>
            <w:gridSpan w:val="2"/>
          </w:tcPr>
          <w:p>
            <w:pPr>
              <w:jc w:val="center"/>
              <w:ind w:right="140"/>
              <w:spacing w:after="0"/>
              <w:rPr>
                <w:sz w:val="20"/>
                <w:szCs w:val="20"/>
                <w:color w:val="auto"/>
              </w:rPr>
            </w:pPr>
            <w:r>
              <w:rPr>
                <w:rFonts w:ascii="Times New Roman" w:cs="Times New Roman" w:eastAsia="Times New Roman" w:hAnsi="Times New Roman"/>
                <w:sz w:val="17"/>
                <w:szCs w:val="17"/>
                <w:color w:val="0000FF"/>
              </w:rPr>
              <w:t>2,170,841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Held 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29,960</w:t>
            </w:r>
            <w:r>
              <w:rPr>
                <w:rFonts w:ascii="Times New Roman" w:cs="Times New Roman" w:eastAsia="Times New Roman" w:hAnsi="Times New Roman"/>
                <w:sz w:val="22"/>
                <w:szCs w:val="22"/>
                <w:color w:val="008000"/>
                <w:vertAlign w:val="superscript"/>
              </w:rPr>
              <w:t>(3)</w:t>
            </w:r>
          </w:p>
        </w:tc>
        <w:tc>
          <w:tcPr>
            <w:tcW w:w="94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ICCA</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Labs,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80" w:type="dxa"/>
            <w:vAlign w:val="bottom"/>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is not a sale of shares by the Reporting Person. Instead, this represents shares that have been withheld by the Issuer to satisfy its income tax and withholding and remittance obligations in connection with the vesting and net settlement of previously reported restricted stock units.</w:t>
      </w:r>
    </w:p>
    <w:p>
      <w:pPr>
        <w:spacing w:after="0" w:line="7" w:lineRule="exact"/>
        <w:rPr>
          <w:rFonts w:ascii="Times New Roman" w:cs="Times New Roman" w:eastAsia="Times New Roman" w:hAnsi="Times New Roman"/>
          <w:sz w:val="13"/>
          <w:szCs w:val="13"/>
          <w:color w:val="008000"/>
        </w:rPr>
      </w:pPr>
    </w:p>
    <w:p>
      <w:pPr>
        <w:jc w:val="both"/>
        <w:ind w:left="40" w:right="1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1,171,291 shares of the Issuer's common stock underlying 3,513, 874 Chess Depositary Interests ("CDIs"). The CDIs are traded on the Australian Securities Exchange (the "ASX") and are held by CHESS Depositary Nominees Pty, Limited, a subsidiary of ASX Limited, the company that operates the ASX. Also includes 53,121 restricted stock units, each of which represents a contingent right to receive one share of the Issuer's common stock upon vesting.</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the Issuer's common stock underlying 89,880 CDIs.</w:t>
      </w:r>
    </w:p>
    <w:p>
      <w:pPr>
        <w:spacing w:after="0" w:line="50" w:lineRule="exact"/>
        <w:rPr>
          <w:rFonts w:ascii="Times New Roman" w:cs="Times New Roman" w:eastAsia="Times New Roman" w:hAnsi="Times New Roman"/>
          <w:sz w:val="13"/>
          <w:szCs w:val="13"/>
          <w:color w:val="008000"/>
        </w:rPr>
      </w:pPr>
    </w:p>
    <w:p>
      <w:pPr>
        <w:ind w:left="40" w:right="5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member of ICCA Labs, LLC, an entity that holds an aggregate of 133,408 shares of the Issuer's common stock underlying 400,224 CDIs. The number of shares reported herein by the Reporting Person represents his proportionate ownership interest in ICCA Labs, LLC.</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Jay Sood, as Attorney-in-</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12/11/2023</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2498" TargetMode="External"/><Relationship Id="rId13"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2023-12-11T19:20:56Z</dcterms:created>
  <dcterms:modified xsi:type="dcterms:W3CDTF">2023-12-11T19:20:56Z</dcterms:modified>
</cp:coreProperties>
</file>