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99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99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286"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Haro Alex</w:t>
              </w:r>
            </w:hyperlink>
          </w:p>
        </w:tc>
        <w:tc>
          <w:tcPr>
            <w:tcW w:w="9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Life360,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LIF</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40" w:type="dxa"/>
            <w:vAlign w:val="bottom"/>
            <w:vMerge w:val="restart"/>
          </w:tcPr>
          <w:p>
            <w:pPr>
              <w:ind w:left="16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12/16/2025</w:t>
            </w:r>
          </w:p>
        </w:tc>
        <w:tc>
          <w:tcPr>
            <w:tcW w:w="2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286"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28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12/16/2025</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vMerge w:val="restart"/>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right"/>
              <w:ind w:right="112"/>
              <w:spacing w:after="0"/>
              <w:rPr>
                <w:sz w:val="20"/>
                <w:szCs w:val="20"/>
                <w:color w:val="auto"/>
              </w:rPr>
            </w:pPr>
            <w:r>
              <w:rPr>
                <w:rFonts w:ascii="Times New Roman" w:cs="Times New Roman" w:eastAsia="Times New Roman" w:hAnsi="Times New Roman"/>
                <w:sz w:val="17"/>
                <w:szCs w:val="17"/>
                <w:color w:val="0000FF"/>
              </w:rPr>
              <w:t>1,165</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63.63</w:t>
            </w:r>
            <w:r>
              <w:rPr>
                <w:rFonts w:ascii="Times New Roman" w:cs="Times New Roman" w:eastAsia="Times New Roman" w:hAnsi="Times New Roman"/>
                <w:sz w:val="22"/>
                <w:szCs w:val="22"/>
                <w:color w:val="008000"/>
                <w:vertAlign w:val="superscript"/>
              </w:rPr>
              <w:t>(1)</w:t>
            </w:r>
          </w:p>
        </w:tc>
        <w:tc>
          <w:tcPr>
            <w:tcW w:w="400" w:type="dxa"/>
            <w:vAlign w:val="bottom"/>
          </w:tcPr>
          <w:p>
            <w:pPr>
              <w:spacing w:after="0"/>
              <w:rPr>
                <w:sz w:val="18"/>
                <w:szCs w:val="18"/>
                <w:color w:val="auto"/>
              </w:rPr>
            </w:pPr>
          </w:p>
        </w:tc>
        <w:tc>
          <w:tcPr>
            <w:tcW w:w="800" w:type="dxa"/>
            <w:vAlign w:val="bottom"/>
            <w:vMerge w:val="restart"/>
          </w:tcPr>
          <w:p>
            <w:pPr>
              <w:jc w:val="center"/>
              <w:ind w:right="395"/>
              <w:spacing w:after="0"/>
              <w:rPr>
                <w:sz w:val="20"/>
                <w:szCs w:val="20"/>
                <w:color w:val="auto"/>
              </w:rPr>
            </w:pPr>
            <w:r>
              <w:rPr>
                <w:rFonts w:ascii="Times New Roman" w:cs="Times New Roman" w:eastAsia="Times New Roman" w:hAnsi="Times New Roman"/>
                <w:sz w:val="17"/>
                <w:szCs w:val="17"/>
                <w:color w:val="0000FF"/>
              </w:rPr>
              <w:t>722</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ICCA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Labs,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12/16/2025</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vMerge w:val="restart"/>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right"/>
              <w:ind w:right="192"/>
              <w:spacing w:after="0"/>
              <w:rPr>
                <w:sz w:val="20"/>
                <w:szCs w:val="20"/>
                <w:color w:val="auto"/>
              </w:rPr>
            </w:pPr>
            <w:r>
              <w:rPr>
                <w:rFonts w:ascii="Times New Roman" w:cs="Times New Roman" w:eastAsia="Times New Roman" w:hAnsi="Times New Roman"/>
                <w:sz w:val="17"/>
                <w:szCs w:val="17"/>
                <w:color w:val="0000FF"/>
              </w:rPr>
              <w:t>722</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64.49</w:t>
            </w:r>
            <w:r>
              <w:rPr>
                <w:rFonts w:ascii="Times New Roman" w:cs="Times New Roman" w:eastAsia="Times New Roman" w:hAnsi="Times New Roman"/>
                <w:sz w:val="22"/>
                <w:szCs w:val="22"/>
                <w:color w:val="008000"/>
                <w:vertAlign w:val="superscript"/>
              </w:rPr>
              <w:t>(3)</w:t>
            </w:r>
          </w:p>
        </w:tc>
        <w:tc>
          <w:tcPr>
            <w:tcW w:w="400" w:type="dxa"/>
            <w:vAlign w:val="bottom"/>
          </w:tcPr>
          <w:p>
            <w:pPr>
              <w:spacing w:after="0"/>
              <w:rPr>
                <w:sz w:val="18"/>
                <w:szCs w:val="18"/>
                <w:color w:val="auto"/>
              </w:rPr>
            </w:pPr>
          </w:p>
        </w:tc>
        <w:tc>
          <w:tcPr>
            <w:tcW w:w="800" w:type="dxa"/>
            <w:vAlign w:val="bottom"/>
            <w:vMerge w:val="restart"/>
          </w:tcPr>
          <w:p>
            <w:pPr>
              <w:jc w:val="center"/>
              <w:ind w:right="395"/>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ICCA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Labs,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400" w:type="dxa"/>
            <w:vAlign w:val="bottom"/>
            <w:tcBorders>
              <w:top w:val="single" w:sz="8" w:color="2C2C2C"/>
              <w:bottom w:val="single" w:sz="8" w:color="2C2C2C"/>
            </w:tcBorders>
            <w:gridSpan w:val="3"/>
          </w:tcPr>
          <w:p>
            <w:pPr>
              <w:jc w:val="center"/>
              <w:ind w:left="75"/>
              <w:spacing w:after="0"/>
              <w:rPr>
                <w:sz w:val="20"/>
                <w:szCs w:val="20"/>
                <w:color w:val="auto"/>
              </w:rPr>
            </w:pPr>
            <w:r>
              <w:rPr>
                <w:rFonts w:ascii="Times New Roman" w:cs="Times New Roman" w:eastAsia="Times New Roman" w:hAnsi="Times New Roman"/>
                <w:sz w:val="17"/>
                <w:szCs w:val="17"/>
                <w:color w:val="0000FF"/>
                <w:w w:val="96"/>
              </w:rPr>
              <w:t>861,315</w:t>
            </w:r>
            <w:r>
              <w:rPr>
                <w:rFonts w:ascii="Times New Roman" w:cs="Times New Roman" w:eastAsia="Times New Roman" w:hAnsi="Times New Roman"/>
                <w:sz w:val="22"/>
                <w:szCs w:val="22"/>
                <w:color w:val="008000"/>
                <w:w w:val="96"/>
                <w:vertAlign w:val="superscript"/>
              </w:rPr>
              <w:t>(4)</w:t>
            </w:r>
          </w:p>
        </w:tc>
        <w:tc>
          <w:tcPr>
            <w:tcW w:w="920" w:type="dxa"/>
            <w:vAlign w:val="bottom"/>
            <w:tcBorders>
              <w:top w:val="single" w:sz="8" w:color="2C2C2C"/>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3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$63.36 to $64.33,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member of ICCA Labs, LLC, an entity that held an aggregate of 8,219 shares of the Issuer's common stock prior to the sales reported herein. The number of shares held as reported herein by the Reporting Person represents his proportionate ownership interest in ICCA Labs, LLC.</w:t>
      </w:r>
    </w:p>
    <w:p>
      <w:pPr>
        <w:spacing w:after="0" w:line="7"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$64.36 to $64.57,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1,357 restricted stock units, each of which represents a contingent right to receive one share of the Issuer's common stock upon vesting.</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12/18/2025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2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2626"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2025-12-18T19:37:08Z</dcterms:created>
  <dcterms:modified xsi:type="dcterms:W3CDTF">2025-12-18T19:37:08Z</dcterms:modified>
</cp:coreProperties>
</file>