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Life360,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1900 S Norfolk Street</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San Mateo, CA 94403</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Thursday, May 30, 2024 (Australia) and Wednesday, May 29, 2024 (U.S.)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2024 Annual Meeting of Stockholders (the “Annual Meeting”) of </w:t>
      </w:r>
      <w:r>
        <w:rPr>
          <w:rFonts w:ascii="Times New Roman" w:cs="Times New Roman" w:eastAsia="Times New Roman" w:hAnsi="Times New Roman"/>
          <w:sz w:val="18"/>
          <w:szCs w:val="18"/>
          <w:b w:val="1"/>
          <w:bCs w:val="1"/>
          <w:color w:val="auto"/>
        </w:rPr>
        <w:t>LIFE360, INC.</w:t>
      </w:r>
      <w:r>
        <w:rPr>
          <w:rFonts w:ascii="Times New Roman" w:cs="Times New Roman" w:eastAsia="Times New Roman" w:hAnsi="Times New Roman"/>
          <w:sz w:val="18"/>
          <w:szCs w:val="18"/>
          <w:color w:val="auto"/>
        </w:rPr>
        <w:t>, a Delaware corporation (the “Company”). The meeting will be held on Thursday, May 30, 2024, at 9:30 am Australian Eastern Time (Wednesday, May 29, 2024, at 4:30 pm Pacific Time) electronically via webcast at https://web.lumiconnect.com/365203827 (Meeting ID: 365-203-827). You will not be able to attend the meeting in person. The meeting will be held for the following purposes:</w:t>
      </w:r>
    </w:p>
    <w:p>
      <w:pPr>
        <w:spacing w:after="0" w:line="86"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elect three Class II directors to serve for a term expiring at the 2027 annual meeting of stockholders.</w:t>
      </w:r>
    </w:p>
    <w:p>
      <w:pPr>
        <w:spacing w:after="0" w:line="130" w:lineRule="exact"/>
        <w:rPr>
          <w:rFonts w:ascii="Times New Roman" w:cs="Times New Roman" w:eastAsia="Times New Roman" w:hAnsi="Times New Roman"/>
          <w:sz w:val="18"/>
          <w:szCs w:val="18"/>
          <w:b w:val="1"/>
          <w:bCs w:val="1"/>
          <w:color w:val="auto"/>
        </w:rPr>
      </w:pPr>
    </w:p>
    <w:p>
      <w:pPr>
        <w:ind w:left="1080" w:right="20" w:hanging="532"/>
        <w:spacing w:after="0" w:line="261" w:lineRule="auto"/>
        <w:tabs>
          <w:tab w:leader="none" w:pos="10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restricted stock units (“RSUs”) to acquire shares of common stock, par value $0.001 per share (“Common Stock”) of the Company equal in value to US$1,200,000 (at the time of the grant) and performance restricted stock units (“PRSUs”) to acquire shares of Common Stock up to a maximum value of US$3,600,000 (at the time of the grant) to Chris Hulls on the terms and conditions set out in this Proxy Statement, pursuant to and for the purposes of Australian Securities Exchange (“ASX”) Listing Rule 10.14.</w:t>
      </w:r>
    </w:p>
    <w:p>
      <w:pPr>
        <w:spacing w:after="0" w:line="85" w:lineRule="exact"/>
        <w:rPr>
          <w:rFonts w:ascii="Times New Roman" w:cs="Times New Roman" w:eastAsia="Times New Roman" w:hAnsi="Times New Roman"/>
          <w:sz w:val="18"/>
          <w:szCs w:val="18"/>
          <w:b w:val="1"/>
          <w:bCs w:val="1"/>
          <w:color w:val="auto"/>
        </w:rPr>
      </w:pPr>
    </w:p>
    <w:p>
      <w:pPr>
        <w:ind w:left="1080" w:right="40" w:hanging="532"/>
        <w:spacing w:after="0" w:line="266" w:lineRule="auto"/>
        <w:tabs>
          <w:tab w:leader="none" w:pos="10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US$204,500 (at the time of the grant) to John Philip Coghlan on the terms and conditions set out in this Proxy Statement, pursuant to and for the purposes of ASX Listing Rule 10.14.</w:t>
      </w:r>
    </w:p>
    <w:p>
      <w:pPr>
        <w:spacing w:after="0" w:line="81" w:lineRule="exact"/>
        <w:rPr>
          <w:rFonts w:ascii="Times New Roman" w:cs="Times New Roman" w:eastAsia="Times New Roman" w:hAnsi="Times New Roman"/>
          <w:sz w:val="18"/>
          <w:szCs w:val="18"/>
          <w:b w:val="1"/>
          <w:bCs w:val="1"/>
          <w:color w:val="auto"/>
        </w:rPr>
      </w:pPr>
    </w:p>
    <w:p>
      <w:pPr>
        <w:jc w:val="both"/>
        <w:ind w:left="1080" w:hanging="532"/>
        <w:spacing w:after="0" w:line="282" w:lineRule="auto"/>
        <w:tabs>
          <w:tab w:leader="none" w:pos="10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US$175,500 (at the time of the grant) to Brittany Morin on the terms and conditions set out in this Proxy Statement, pursuant to and for the purposes of ASX Listing Rule 10.14.</w:t>
      </w:r>
    </w:p>
    <w:p>
      <w:pPr>
        <w:spacing w:after="0" w:line="67" w:lineRule="exact"/>
        <w:rPr>
          <w:rFonts w:ascii="Times New Roman" w:cs="Times New Roman" w:eastAsia="Times New Roman" w:hAnsi="Times New Roman"/>
          <w:sz w:val="18"/>
          <w:szCs w:val="18"/>
          <w:b w:val="1"/>
          <w:bCs w:val="1"/>
          <w:color w:val="auto"/>
        </w:rPr>
      </w:pPr>
    </w:p>
    <w:p>
      <w:pPr>
        <w:ind w:left="1080" w:right="40" w:hanging="532"/>
        <w:spacing w:after="0" w:line="312" w:lineRule="auto"/>
        <w:tabs>
          <w:tab w:leader="none" w:pos="10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the grant of RSUs to acquire shares of Common Stock of the Company equal in value to US$176,000 (at the time of the grant) to James Synge on the terms and conditions set out in this Proxy Statement, pursuant to and for the purposes of ASX Listing Rule 10.14.</w:t>
      </w:r>
    </w:p>
    <w:p>
      <w:pPr>
        <w:spacing w:after="0" w:line="45" w:lineRule="exact"/>
        <w:rPr>
          <w:rFonts w:ascii="Times New Roman" w:cs="Times New Roman" w:eastAsia="Times New Roman" w:hAnsi="Times New Roman"/>
          <w:sz w:val="17"/>
          <w:szCs w:val="17"/>
          <w:b w:val="1"/>
          <w:bCs w:val="1"/>
          <w:color w:val="auto"/>
        </w:rPr>
      </w:pPr>
    </w:p>
    <w:p>
      <w:pPr>
        <w:ind w:left="1080" w:right="40" w:hanging="532"/>
        <w:spacing w:after="0" w:line="312" w:lineRule="auto"/>
        <w:tabs>
          <w:tab w:leader="none" w:pos="10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the grant of RSUs to acquire shares of Common Stock of the Company equal in value to US$177,000 (at the time of the grant) to Mark Goines on the terms and conditions set out in this Proxy Statement, pursuant to and for the purposes of ASX Listing Rule 10.14.</w:t>
      </w:r>
    </w:p>
    <w:p>
      <w:pPr>
        <w:spacing w:after="0" w:line="45" w:lineRule="exact"/>
        <w:rPr>
          <w:rFonts w:ascii="Times New Roman" w:cs="Times New Roman" w:eastAsia="Times New Roman" w:hAnsi="Times New Roman"/>
          <w:sz w:val="17"/>
          <w:szCs w:val="17"/>
          <w:b w:val="1"/>
          <w:bCs w:val="1"/>
          <w:color w:val="auto"/>
        </w:rPr>
      </w:pPr>
    </w:p>
    <w:p>
      <w:pPr>
        <w:ind w:left="1080" w:right="40" w:hanging="532"/>
        <w:spacing w:after="0" w:line="266" w:lineRule="auto"/>
        <w:tabs>
          <w:tab w:leader="none" w:pos="10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US$185,000 (at the time of the grant) to David Wiadrowski on the terms and conditions set out in this Proxy Statement, pursuant to and for the purposes of ASX Listing Rule 10.14.</w:t>
      </w:r>
    </w:p>
    <w:p>
      <w:pPr>
        <w:spacing w:after="0" w:line="81" w:lineRule="exact"/>
        <w:rPr>
          <w:rFonts w:ascii="Times New Roman" w:cs="Times New Roman" w:eastAsia="Times New Roman" w:hAnsi="Times New Roman"/>
          <w:sz w:val="18"/>
          <w:szCs w:val="18"/>
          <w:b w:val="1"/>
          <w:bCs w:val="1"/>
          <w:color w:val="auto"/>
        </w:rPr>
      </w:pPr>
    </w:p>
    <w:p>
      <w:pPr>
        <w:ind w:left="1080" w:right="40" w:hanging="532"/>
        <w:spacing w:after="0" w:line="266" w:lineRule="auto"/>
        <w:tabs>
          <w:tab w:leader="none" w:pos="10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US$170,000 (at the time of the grant) to Randi Zuckerberg on the terms and conditions set out in this Proxy Statement, pursuant to and for the purposes of ASX Listing Rule 10.14.</w:t>
      </w:r>
    </w:p>
    <w:p>
      <w:pPr>
        <w:spacing w:after="0" w:line="81" w:lineRule="exact"/>
        <w:rPr>
          <w:rFonts w:ascii="Times New Roman" w:cs="Times New Roman" w:eastAsia="Times New Roman" w:hAnsi="Times New Roman"/>
          <w:sz w:val="18"/>
          <w:szCs w:val="18"/>
          <w:b w:val="1"/>
          <w:bCs w:val="1"/>
          <w:color w:val="auto"/>
        </w:rPr>
      </w:pPr>
    </w:p>
    <w:p>
      <w:pPr>
        <w:ind w:left="1080" w:right="40" w:hanging="532"/>
        <w:spacing w:after="0" w:line="312" w:lineRule="auto"/>
        <w:tabs>
          <w:tab w:leader="none" w:pos="108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approve the grant of RSUs to acquire shares of Common Stock of the Company equal in value to US$170,000 (at the time of the grant) to Alex Haro on the terms and conditions set out in this Proxy Statement, pursuant to and for the purposes of ASX Listing Rule 10.14.</w:t>
      </w:r>
    </w:p>
    <w:p>
      <w:pPr>
        <w:spacing w:after="0" w:line="45" w:lineRule="exact"/>
        <w:rPr>
          <w:rFonts w:ascii="Times New Roman" w:cs="Times New Roman" w:eastAsia="Times New Roman" w:hAnsi="Times New Roman"/>
          <w:sz w:val="17"/>
          <w:szCs w:val="17"/>
          <w:b w:val="1"/>
          <w:bCs w:val="1"/>
          <w:color w:val="auto"/>
        </w:rPr>
      </w:pPr>
    </w:p>
    <w:p>
      <w:pPr>
        <w:ind w:left="1080" w:right="40" w:hanging="532"/>
        <w:spacing w:after="0" w:line="266" w:lineRule="auto"/>
        <w:tabs>
          <w:tab w:leader="none" w:pos="10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the grant of RSUs to acquire shares of Common Stock of the Company equal in value to US$170,000 (at the time of the grant) to Charles “CJ” Prober on the terms and conditions set out in this Proxy Statement, pursuant to and for the purposes of ASX Listing Rule 10.14.</w:t>
      </w:r>
    </w:p>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 advisory, non-binding vote to approve the compensation of the Company’s named executive officers.</w:t>
      </w:r>
    </w:p>
    <w:p>
      <w:pPr>
        <w:spacing w:after="0" w:line="130" w:lineRule="exact"/>
        <w:rPr>
          <w:rFonts w:ascii="Times New Roman" w:cs="Times New Roman" w:eastAsia="Times New Roman" w:hAnsi="Times New Roman"/>
          <w:sz w:val="18"/>
          <w:szCs w:val="18"/>
          <w:b w:val="1"/>
          <w:bCs w:val="1"/>
          <w:color w:val="auto"/>
        </w:rPr>
      </w:pPr>
    </w:p>
    <w:p>
      <w:pPr>
        <w:ind w:left="1080" w:right="22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 advisory, non-binding vote to approve the frequency of soliciting a non-binding advisory vote on the compensation of the Company’s named executive officers.</w:t>
      </w:r>
    </w:p>
    <w:p>
      <w:pPr>
        <w:spacing w:after="0" w:line="67" w:lineRule="exact"/>
        <w:rPr>
          <w:rFonts w:ascii="Times New Roman" w:cs="Times New Roman" w:eastAsia="Times New Roman" w:hAnsi="Times New Roman"/>
          <w:sz w:val="18"/>
          <w:szCs w:val="18"/>
          <w:b w:val="1"/>
          <w:bCs w:val="1"/>
          <w:color w:val="auto"/>
        </w:rPr>
      </w:pPr>
    </w:p>
    <w:p>
      <w:pPr>
        <w:ind w:left="1080" w:right="76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ratify the selection by the Audit and Risk Management Committee of the Board of Directors of Deloitte &amp; Touche LLP as the independent registered public accounting firm of the Company for its fiscal year ending December 31, 2024.</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line="282"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of the Company (the “Certificate of Incorporation”) to increase the number of authorized shares.</w:t>
      </w:r>
    </w:p>
    <w:p>
      <w:pPr>
        <w:spacing w:after="0" w:line="67"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to create a class of preferred stock.</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to amend authority to call a special meeting.</w:t>
      </w:r>
    </w:p>
    <w:p>
      <w:pPr>
        <w:spacing w:after="0" w:line="130"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to reflect Delaware law provisions regarding exculpation of officers.</w:t>
      </w:r>
    </w:p>
    <w:p>
      <w:pPr>
        <w:spacing w:after="0" w:line="130" w:lineRule="exact"/>
        <w:rPr>
          <w:rFonts w:ascii="Times New Roman" w:cs="Times New Roman" w:eastAsia="Times New Roman" w:hAnsi="Times New Roman"/>
          <w:sz w:val="18"/>
          <w:szCs w:val="18"/>
          <w:b w:val="1"/>
          <w:bCs w:val="1"/>
          <w:color w:val="auto"/>
        </w:rPr>
      </w:pPr>
    </w:p>
    <w:p>
      <w:pPr>
        <w:jc w:val="both"/>
        <w:ind w:left="1080" w:right="60" w:hanging="532"/>
        <w:spacing w:after="0" w:line="266" w:lineRule="auto"/>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an amendment to the Certificate of Incorporation to add a new provision that the sole and exclusive forum for the resolution of any complainant asserting a cause of action arising under the Securities Act of 1933 shall be the federal district courts of the United States of America, unless the Company selects or consents in writing to the selection of an alternative forum.</w:t>
      </w:r>
    </w:p>
    <w:p>
      <w:pPr>
        <w:spacing w:after="0" w:line="81" w:lineRule="exact"/>
        <w:rPr>
          <w:rFonts w:ascii="Times New Roman" w:cs="Times New Roman" w:eastAsia="Times New Roman" w:hAnsi="Times New Roman"/>
          <w:sz w:val="18"/>
          <w:szCs w:val="18"/>
          <w:b w:val="1"/>
          <w:bCs w:val="1"/>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conduct any other business properly brought before the meeting by or at direction of the Board of Directors.</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year’s Annual Meeting will be held virtually through a live webcast. Holders of record of Common Stock will be able to attend the Annual Meeting, submit questions and vote during the live webcast by visiting https://web.lumiconnect.com/365203827 (Meeting ID: 365-203-827) and entering the 16-digit Control Number distributed with these proxy materials. Holders of CHESS Depositary Interests (“CDIs”) (representing the underlying shares of Common Stock) (such holders, “CDI Holders”) will be able to attend the Annual Meeting and submit questions but will not be able to vote during the Annual Meeting by visiting the website above and logging in as a guest. Please refer to the additional logistical details and recommendations in the accompanying proxy statement. You may log-in beginning at 9:30 am Australian Eastern Time, on Thursday, May 30, 2024 (4:30 pm Pacific Time on Wednesday, May 29, 2024).</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Board of Directors has set Tuesday, April 9, 2024, at 7:00 pm Australian Eastern Time (Tuesday, April 9, 2024, at 2:00 am Pacific Time) as the record date (the “Record Date”) to determine those holders of record of Common Stock who are entitled to notice of, to virtually attend, and to electronically vote at, the Annual Meeting or any adjournment or postponement thereof and those CDI Holders who are entitled to notice of, and to virtually attend (but not vote at), the Annual Meeting or any adjournment thereof or postponement. If you hold your shares of Common Stock or CDIs through an account with a brokerage firm, bank, or other nominee, please follow the instructions you receive from them as to how to vote your shares of Common Stock. CHESS Depositary Nominees Pty Ltd (“CDN”) will vote the applicable CDIs on behalf of each applicable CDI Holder at the Annual Meeting in accordance with the instructions received via the CDI Voting Instruction Form. Further details regarding how holders of Common Stock and CDIs can vote are set out in this Proxy Statement.</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Russell Burke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Mateo, CA</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169545</wp:posOffset>
            </wp:positionV>
            <wp:extent cx="6998970" cy="904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282" w:lineRule="exact"/>
        <w:rPr>
          <w:sz w:val="20"/>
          <w:szCs w:val="20"/>
          <w:color w:val="auto"/>
        </w:rPr>
      </w:pPr>
    </w:p>
    <w:p>
      <w:pPr>
        <w:ind w:left="240"/>
        <w:spacing w:after="0" w:line="257"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annual meeting, please complete, date, sign and return the proxy or CDI Voting Instruction Form mailed to you if one was mailed to you, or vote over the telephone or the internet as instructed in these materials, as promptly as possible in order to ensure your representation at the Annual Meeting. Even if you have voted by proxy, holders of record of Common Stock may still vote online if you attend the meeting. Please note, however, that if your shares are held of record by a broker, bank or other nominee and you wish to vote at the Annual Meeting, you must obtain a proxy issued in your name from that record holder.</w:t>
      </w:r>
    </w:p>
    <w:p>
      <w:pPr>
        <w:sectPr>
          <w:pgSz w:w="11900" w:h="16838" w:orient="portrait"/>
          <w:cols w:equalWidth="0" w:num="1">
            <w:col w:w="11100"/>
          </w:cols>
          <w:pgMar w:left="320" w:top="482"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IFE</w:t>
      </w:r>
      <w:r>
        <w:rPr>
          <w:rFonts w:ascii="Times New Roman" w:cs="Times New Roman" w:eastAsia="Times New Roman" w:hAnsi="Times New Roman"/>
          <w:sz w:val="18"/>
          <w:szCs w:val="18"/>
          <w:b w:val="1"/>
          <w:bCs w:val="1"/>
          <w:color w:val="auto"/>
        </w:rPr>
        <w:t>360,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1900 S Norfolk Street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San Mateo, CA</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Thursday, May 30, 2024 (Australia) and Wednesday, May 29, 2024 (U.S.)</w:t>
      </w:r>
    </w:p>
    <w:p>
      <w:pPr>
        <w:spacing w:after="0" w:line="20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MEETING AGENDA</w:t>
      </w:r>
    </w:p>
    <w:p>
      <w:pPr>
        <w:spacing w:after="0" w:line="250"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4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Proposals</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 Recommendation</w:t>
            </w:r>
          </w:p>
        </w:tc>
      </w:tr>
      <w:tr>
        <w:trPr>
          <w:trHeight w:val="168"/>
        </w:trPr>
        <w:tc>
          <w:tcPr>
            <w:tcW w:w="620" w:type="dxa"/>
            <w:vAlign w:val="bottom"/>
            <w:tcBorders>
              <w:top w:val="single" w:sz="8" w:color="auto"/>
            </w:tcBorders>
          </w:tcPr>
          <w:p>
            <w:pPr>
              <w:spacing w:after="0" w:line="167" w:lineRule="exact"/>
              <w:rPr>
                <w:sz w:val="20"/>
                <w:szCs w:val="20"/>
                <w:color w:val="auto"/>
              </w:rPr>
            </w:pPr>
            <w:r>
              <w:rPr>
                <w:rFonts w:ascii="Times New Roman" w:cs="Times New Roman" w:eastAsia="Times New Roman" w:hAnsi="Times New Roman"/>
                <w:sz w:val="17"/>
                <w:szCs w:val="17"/>
                <w:color w:val="auto"/>
              </w:rPr>
              <w:t>Election</w:t>
            </w:r>
          </w:p>
        </w:tc>
        <w:tc>
          <w:tcPr>
            <w:tcW w:w="370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of Directors</w:t>
            </w:r>
          </w:p>
        </w:tc>
        <w:tc>
          <w:tcPr>
            <w:tcW w:w="3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7"/>
                <w:szCs w:val="17"/>
                <w:color w:val="auto"/>
              </w:rPr>
              <w:t>12</w:t>
            </w:r>
          </w:p>
        </w:tc>
        <w:tc>
          <w:tcPr>
            <w:tcW w:w="440" w:type="dxa"/>
            <w:vAlign w:val="bottom"/>
          </w:tcPr>
          <w:p>
            <w:pPr>
              <w:spacing w:after="0"/>
              <w:rPr>
                <w:sz w:val="14"/>
                <w:szCs w:val="14"/>
                <w:color w:val="auto"/>
              </w:rPr>
            </w:pPr>
          </w:p>
        </w:tc>
        <w:tc>
          <w:tcPr>
            <w:tcW w:w="2340" w:type="dxa"/>
            <w:vAlign w:val="bottom"/>
            <w:tcBorders>
              <w:top w:val="single" w:sz="8" w:color="auto"/>
            </w:tcBorders>
          </w:tcPr>
          <w:p>
            <w:pPr>
              <w:jc w:val="center"/>
              <w:spacing w:after="0" w:line="167" w:lineRule="exact"/>
              <w:rPr>
                <w:sz w:val="20"/>
                <w:szCs w:val="20"/>
                <w:color w:val="auto"/>
              </w:rPr>
            </w:pPr>
            <w:r>
              <w:rPr>
                <w:rFonts w:ascii="Times New Roman" w:cs="Times New Roman" w:eastAsia="Times New Roman" w:hAnsi="Times New Roman"/>
                <w:sz w:val="17"/>
                <w:szCs w:val="17"/>
                <w:color w:val="auto"/>
                <w:w w:val="99"/>
              </w:rPr>
              <w:t>For each director nominee</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and PRSUs to Chris Hulls</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22</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John Philip Coghlan</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Brittany Morin</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James Synge</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Mark Goines</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David Wiadrowski</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Randi Zuckerberg</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Alex Haro</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grant of RSUs to Charles Prober</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26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Advisory vote on executive compensation</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34</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Advisory vote on the frequency of solicitation of</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advisory stockholder approval of executive</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compensation</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35</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One Year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Ratification of the selection of independent registered</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public accounting firm</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36</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the Certificate of</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Incorporation to increase number of authorized shares</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39</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Certificate of Incorporation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create a class of preferred stock</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41</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Certificate of Incorporation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amend authority to call a special meeting</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45</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Certificate of Incorporation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reflect Delaware law provisions regarding exculpation</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03"/>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of officers</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47</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Approval of amendment to Certificate of Incorporation to</w:t>
            </w: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340" w:type="dxa"/>
            <w:vAlign w:val="bottom"/>
          </w:tcPr>
          <w:p>
            <w:pPr>
              <w:spacing w:after="0"/>
              <w:rPr>
                <w:sz w:val="17"/>
                <w:szCs w:val="17"/>
                <w:color w:val="auto"/>
              </w:rPr>
            </w:pPr>
          </w:p>
        </w:tc>
      </w:tr>
      <w:tr>
        <w:trPr>
          <w:trHeight w:val="222"/>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provide for an exclusive federal forum</w:t>
            </w: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color w:val="auto"/>
              </w:rPr>
              <w:t>49</w:t>
            </w:r>
          </w:p>
        </w:tc>
        <w:tc>
          <w:tcPr>
            <w:tcW w:w="2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2"/>
              </w:rPr>
              <w:t>For</w:t>
            </w:r>
          </w:p>
        </w:tc>
      </w:tr>
    </w:tbl>
    <w:p>
      <w:pPr>
        <w:sectPr>
          <w:pgSz w:w="11900" w:h="16838" w:orient="portrait"/>
          <w:cols w:equalWidth="0" w:num="1">
            <w:col w:w="10139"/>
          </w:cols>
          <w:pgMar w:left="320" w:top="48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215265</wp:posOffset>
            </wp:positionV>
            <wp:extent cx="5186045" cy="6763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86045" cy="676338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7"/>
        </w:trPr>
        <w:tc>
          <w:tcPr>
            <w:tcW w:w="10260" w:type="dxa"/>
            <w:vAlign w:val="bottom"/>
            <w:gridSpan w:val="46"/>
          </w:tcPr>
          <w:p>
            <w:pPr>
              <w:spacing w:after="0"/>
              <w:rPr>
                <w:sz w:val="20"/>
                <w:szCs w:val="20"/>
                <w:color w:val="auto"/>
              </w:rPr>
            </w:pPr>
            <w:r>
              <w:rPr>
                <w:rFonts w:ascii="Times New Roman" w:cs="Times New Roman" w:eastAsia="Times New Roman" w:hAnsi="Times New Roman"/>
                <w:sz w:val="18"/>
                <w:szCs w:val="18"/>
                <w:color w:val="0000EE"/>
              </w:rPr>
              <w:t>QUESTIONS AND ANSWERS ABOUT THESE PROXY MATERIALS AND VOTING</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330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3180" w:type="dxa"/>
            <w:vAlign w:val="bottom"/>
            <w:tcBorders>
              <w:top w:val="single" w:sz="8" w:color="0000EE"/>
            </w:tcBorders>
            <w:gridSpan w:val="12"/>
          </w:tcPr>
          <w:p>
            <w:pPr>
              <w:spacing w:after="0"/>
              <w:rPr>
                <w:sz w:val="17"/>
                <w:szCs w:val="17"/>
                <w:color w:val="auto"/>
              </w:rPr>
            </w:pPr>
          </w:p>
        </w:tc>
        <w:tc>
          <w:tcPr>
            <w:tcW w:w="3780" w:type="dxa"/>
            <w:vAlign w:val="bottom"/>
            <w:gridSpan w:val="1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THE BOARD OF DIRECTORS AND CORPORATE GOVERNANCE</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Independence of the Board of Directors</w:t>
            </w:r>
          </w:p>
        </w:tc>
        <w:tc>
          <w:tcPr>
            <w:tcW w:w="272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Board Leadership Structure</w:t>
            </w:r>
          </w:p>
        </w:tc>
        <w:tc>
          <w:tcPr>
            <w:tcW w:w="7060" w:type="dxa"/>
            <w:vAlign w:val="bottom"/>
            <w:gridSpan w:val="2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Role of the Board in Risk Oversight</w:t>
            </w:r>
          </w:p>
        </w:tc>
        <w:tc>
          <w:tcPr>
            <w:tcW w:w="7300" w:type="dxa"/>
            <w:vAlign w:val="bottom"/>
            <w:gridSpan w:val="2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Meetings of the Board of Directors</w:t>
            </w:r>
          </w:p>
        </w:tc>
        <w:tc>
          <w:tcPr>
            <w:tcW w:w="7360" w:type="dxa"/>
            <w:vAlign w:val="bottom"/>
            <w:gridSpan w:val="2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Regarding Committees of the Board of Directors</w:t>
            </w:r>
          </w:p>
        </w:tc>
        <w:tc>
          <w:tcPr>
            <w:tcW w:w="5480" w:type="dxa"/>
            <w:vAlign w:val="bottom"/>
            <w:gridSpan w:val="1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Communications with the Board of Directors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Code of Conduct</w:t>
            </w:r>
          </w:p>
        </w:tc>
        <w:tc>
          <w:tcPr>
            <w:tcW w:w="6660" w:type="dxa"/>
            <w:vAlign w:val="bottom"/>
            <w:gridSpan w:val="2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Corporate Governance Statement</w:t>
            </w:r>
          </w:p>
        </w:tc>
        <w:tc>
          <w:tcPr>
            <w:tcW w:w="7500" w:type="dxa"/>
            <w:vAlign w:val="bottom"/>
            <w:gridSpan w:val="31"/>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Hedging Policy</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2 APPROVAL OF GRANT OF RSUS AND PRSUS TO CHRIS HULLS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PROPOSALS 3 TO 10 APPROVAL OF GRANT OF RSUS TO NON-EXECUTIVE DIRECTORS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5420" w:type="dxa"/>
            <w:vAlign w:val="bottom"/>
            <w:tcBorders>
              <w:top w:val="single" w:sz="8" w:color="0000EE"/>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11 ADVISORY VOTE ON EXECUTIVE COMPENSATION</w:t>
            </w:r>
          </w:p>
        </w:tc>
        <w:tc>
          <w:tcPr>
            <w:tcW w:w="1740" w:type="dxa"/>
            <w:vAlign w:val="bottom"/>
            <w:tcBorders>
              <w:top w:val="single" w:sz="8" w:color="0000EE"/>
            </w:tcBorders>
            <w:gridSpan w:val="6"/>
          </w:tcPr>
          <w:p>
            <w:pPr>
              <w:spacing w:after="0"/>
              <w:rPr>
                <w:sz w:val="17"/>
                <w:szCs w:val="17"/>
                <w:color w:val="auto"/>
              </w:rPr>
            </w:pPr>
          </w:p>
        </w:tc>
        <w:tc>
          <w:tcPr>
            <w:tcW w:w="3100" w:type="dxa"/>
            <w:vAlign w:val="bottom"/>
            <w:gridSpan w:val="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912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12 ADVISORY VOTE ON THE FREQUENCY OF SOLICITATION OF ADVISORY VOTE ON EXECUTIVE</w:t>
            </w:r>
          </w:p>
        </w:tc>
        <w:tc>
          <w:tcPr>
            <w:tcW w:w="114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0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13 RATIFICATION OF SELECTION OF INDEPENDENT REGISTERED PUBLIC ACCOUNTING FIRM</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6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5600" w:type="dxa"/>
            <w:vAlign w:val="bottom"/>
            <w:tcBorders>
              <w:top w:val="single" w:sz="8" w:color="0000EE"/>
            </w:tcBorders>
            <w:gridSpan w:val="17"/>
          </w:tcPr>
          <w:p>
            <w:pPr>
              <w:spacing w:after="0"/>
              <w:rPr>
                <w:sz w:val="17"/>
                <w:szCs w:val="17"/>
                <w:color w:val="auto"/>
              </w:rPr>
            </w:pPr>
          </w:p>
        </w:tc>
        <w:tc>
          <w:tcPr>
            <w:tcW w:w="144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Pre-Approval Policies and Procedures</w:t>
            </w:r>
          </w:p>
        </w:tc>
        <w:tc>
          <w:tcPr>
            <w:tcW w:w="7160" w:type="dxa"/>
            <w:vAlign w:val="bottom"/>
            <w:gridSpan w:val="26"/>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Change in Independent Registered Public Accounting Firm</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36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14 APPROVAL OF AMENDMENT TO THE CERTIFICATE OF INCORPORATION TO INCREASE NUMBER OF</w:t>
            </w:r>
          </w:p>
        </w:tc>
        <w:tc>
          <w:tcPr>
            <w:tcW w:w="7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9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AUTHORIZED SHARES</w:t>
            </w:r>
          </w:p>
        </w:tc>
        <w:tc>
          <w:tcPr>
            <w:tcW w:w="7420" w:type="dxa"/>
            <w:vAlign w:val="bottom"/>
            <w:tcBorders>
              <w:top w:val="single" w:sz="8" w:color="0000EE"/>
            </w:tcBorders>
            <w:gridSpan w:val="34"/>
          </w:tcPr>
          <w:p>
            <w:pPr>
              <w:spacing w:after="0"/>
              <w:rPr>
                <w:sz w:val="17"/>
                <w:szCs w:val="17"/>
                <w:color w:val="auto"/>
              </w:rPr>
            </w:pPr>
          </w:p>
        </w:tc>
        <w:tc>
          <w:tcPr>
            <w:tcW w:w="760" w:type="dxa"/>
            <w:vAlign w:val="bottom"/>
            <w:gridSpan w:val="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928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15 APPROVAL OF AMENDMENT TO THE CERTIFICATE OF INCORPORATION TO CREATE A CLASS OF</w:t>
            </w:r>
          </w:p>
        </w:tc>
        <w:tc>
          <w:tcPr>
            <w:tcW w:w="9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008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PREFERRED STOCK</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16 APPROVAL OF AMENDMENT TO CERTIFICATE OF INCORPORATION TO AMEND AUTHORITY TO CALL A</w:t>
            </w:r>
          </w:p>
        </w:tc>
        <w:tc>
          <w:tcPr>
            <w:tcW w:w="7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680" w:type="dxa"/>
            <w:vAlign w:val="bottom"/>
            <w:tcBorders>
              <w:top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SPECIAL MEETING</w:t>
            </w:r>
          </w:p>
        </w:tc>
        <w:tc>
          <w:tcPr>
            <w:tcW w:w="4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17 APPROVAL OF AMENDMENT TO CERTIFICATE OF INCORPORATION TO REFLECT DELAWARE LAW</w:t>
            </w:r>
          </w:p>
        </w:tc>
        <w:tc>
          <w:tcPr>
            <w:tcW w:w="7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200" w:type="dxa"/>
            <w:vAlign w:val="bottom"/>
            <w:tcBorders>
              <w:top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PROVISIONS REGARDING EXCULPATION OF OFFICERS</w:t>
            </w:r>
          </w:p>
        </w:tc>
        <w:tc>
          <w:tcPr>
            <w:tcW w:w="880" w:type="dxa"/>
            <w:vAlign w:val="bottom"/>
            <w:gridSpan w:val="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20"/>
        </w:trPr>
        <w:tc>
          <w:tcPr>
            <w:tcW w:w="18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PROPOSAL 18 APPROVAL OF AMENDMENT TO CERTIFICATE OF INCORPORATION TO PROVIDE FOR AN EXCLUSIVE</w:t>
            </w:r>
          </w:p>
        </w:tc>
        <w:tc>
          <w:tcPr>
            <w:tcW w:w="70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FEDERAL FORUM</w:t>
            </w:r>
          </w:p>
        </w:tc>
        <w:tc>
          <w:tcPr>
            <w:tcW w:w="7980" w:type="dxa"/>
            <w:vAlign w:val="bottom"/>
            <w:tcBorders>
              <w:top w:val="single" w:sz="8" w:color="0000EE"/>
            </w:tcBorders>
            <w:gridSpan w:val="39"/>
          </w:tcPr>
          <w:p>
            <w:pPr>
              <w:spacing w:after="0"/>
              <w:rPr>
                <w:sz w:val="17"/>
                <w:szCs w:val="17"/>
                <w:color w:val="auto"/>
              </w:rPr>
            </w:pPr>
          </w:p>
        </w:tc>
        <w:tc>
          <w:tcPr>
            <w:tcW w:w="600" w:type="dxa"/>
            <w:vAlign w:val="bottom"/>
            <w:gridSpan w:val="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OFFICERS</w:t>
            </w:r>
          </w:p>
        </w:tc>
        <w:tc>
          <w:tcPr>
            <w:tcW w:w="8360" w:type="dxa"/>
            <w:vAlign w:val="bottom"/>
            <w:gridSpan w:val="3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24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4280" w:type="dxa"/>
            <w:vAlign w:val="bottom"/>
            <w:tcBorders>
              <w:top w:val="single" w:sz="8" w:color="0000EE"/>
            </w:tcBorders>
            <w:gridSpan w:val="24"/>
          </w:tcPr>
          <w:p>
            <w:pPr>
              <w:spacing w:after="0"/>
              <w:rPr>
                <w:sz w:val="17"/>
                <w:szCs w:val="17"/>
                <w:color w:val="auto"/>
              </w:rPr>
            </w:pPr>
          </w:p>
        </w:tc>
        <w:tc>
          <w:tcPr>
            <w:tcW w:w="354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Summary Compensation Table</w:t>
            </w:r>
          </w:p>
        </w:tc>
        <w:tc>
          <w:tcPr>
            <w:tcW w:w="7060" w:type="dxa"/>
            <w:vAlign w:val="bottom"/>
            <w:gridSpan w:val="2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Outstanding Equity Awards at Fiscal Year End</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Grants of Plan-Based Awards</w:t>
            </w:r>
          </w:p>
        </w:tc>
        <w:tc>
          <w:tcPr>
            <w:tcW w:w="6560" w:type="dxa"/>
            <w:vAlign w:val="bottom"/>
            <w:gridSpan w:val="2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Option Exercises and Stock Vested</w:t>
            </w:r>
          </w:p>
        </w:tc>
        <w:tc>
          <w:tcPr>
            <w:tcW w:w="7380" w:type="dxa"/>
            <w:vAlign w:val="bottom"/>
            <w:gridSpan w:val="3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00" w:type="dxa"/>
            <w:vAlign w:val="bottom"/>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Potential Payments and Benefits Upon Termination or Change in Control</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3500" w:type="dxa"/>
            <w:vAlign w:val="bottom"/>
            <w:tcBorders>
              <w:top w:val="single" w:sz="8" w:color="0000EE"/>
            </w:tcBorders>
            <w:gridSpan w:val="22"/>
          </w:tcPr>
          <w:p>
            <w:pPr>
              <w:spacing w:after="0"/>
              <w:rPr>
                <w:sz w:val="17"/>
                <w:szCs w:val="17"/>
                <w:color w:val="auto"/>
              </w:rPr>
            </w:pPr>
          </w:p>
        </w:tc>
        <w:tc>
          <w:tcPr>
            <w:tcW w:w="4640" w:type="dxa"/>
            <w:vAlign w:val="bottom"/>
            <w:gridSpan w:val="14"/>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Director Compensation</w:t>
            </w:r>
          </w:p>
        </w:tc>
        <w:tc>
          <w:tcPr>
            <w:tcW w:w="8220" w:type="dxa"/>
            <w:vAlign w:val="bottom"/>
            <w:gridSpan w:val="3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564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RELATED PERSONS AND INDEMNIFICATION</w:t>
            </w:r>
          </w:p>
        </w:tc>
        <w:tc>
          <w:tcPr>
            <w:tcW w:w="462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Related Person Transactions Policy and Procedures</w:t>
            </w:r>
          </w:p>
        </w:tc>
        <w:tc>
          <w:tcPr>
            <w:tcW w:w="6200" w:type="dxa"/>
            <w:vAlign w:val="bottom"/>
            <w:gridSpan w:val="1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Related Person Transactions</w:t>
            </w:r>
          </w:p>
        </w:tc>
        <w:tc>
          <w:tcPr>
            <w:tcW w:w="7280" w:type="dxa"/>
            <w:vAlign w:val="bottom"/>
            <w:gridSpan w:val="2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34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6860" w:type="dxa"/>
            <w:vAlign w:val="bottom"/>
            <w:gridSpan w:val="2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0260" w:type="dxa"/>
            <w:vAlign w:val="bottom"/>
            <w:gridSpan w:val="46"/>
          </w:tcPr>
          <w:p>
            <w:pPr>
              <w:spacing w:after="0" w:line="196" w:lineRule="exact"/>
              <w:rPr>
                <w:sz w:val="20"/>
                <w:szCs w:val="20"/>
                <w:color w:val="auto"/>
              </w:rPr>
            </w:pPr>
            <w:r>
              <w:rPr>
                <w:rFonts w:ascii="Times New Roman" w:cs="Times New Roman" w:eastAsia="Times New Roman" w:hAnsi="Times New Roman"/>
                <w:sz w:val="18"/>
                <w:szCs w:val="18"/>
                <w:color w:val="0000EE"/>
              </w:rPr>
              <w:t>OTHER MATTERS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ectPr>
          <w:pgSz w:w="11900" w:h="16838" w:orient="portrait"/>
          <w:cols w:equalWidth="0" w:num="1">
            <w:col w:w="11080"/>
          </w:cols>
          <w:pgMar w:left="320" w:top="482"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Life360, Inc. (sometimes referred to as the “Company” or “Life360”) is soliciting your proxy to vote at the 2024 Annual Meeting of Stockholders (the “Annual Meeting”), including at any adjournments or postponements of the meeting. All stockholders or holders of CHESS Depositary Interests (“CDIs”, and each such holder, a “CDI holder”)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intend to mail the Notice on or about Friday, [April 19, 2024] (Australia) (or Thursday, [April 18, 2024] (U.S.)) to all stockholders of record entitled to vote at the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 may send stockholders a proxy card, along with a supplement to the Notice, on or after Monday, [April 29, 2024] (Australia) (or Sunday, [April 28, 2024]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and you designate another person or entity to vote shares that you own of record, such other person or entity is referred to as your proxy. If you designate someone as your proxy in a written document, that document is also called a proxy or a proxy card. When you designate a proxy, you may also direct the proxy how to vote your shares. This is referred to as your “proxy vote”.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or a CDI holder as of 7:00 pm Australian Eastern Time on Tuesday, April 9, 2024 (2:00 a.m. Pacific Time on Tuesday, April 9, 2024) (the “Record Date”), or hold a valid proxy for the meeting.</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to be admitted to the Annual Meeting, you will need to visit https://web.lumiconnect.com/365203827 and enter the 16-digit Control Number found next to the label “Control Number” on your Notice of Internet Availability, proxy card or voting instruction form, or in the email sending you this Proxy Statement.</w:t>
      </w:r>
    </w:p>
    <w:p>
      <w:pPr>
        <w:spacing w:after="0" w:line="176" w:lineRule="exact"/>
        <w:rPr>
          <w:sz w:val="20"/>
          <w:szCs w:val="20"/>
          <w:color w:val="auto"/>
        </w:rPr>
      </w:pPr>
    </w:p>
    <w:p>
      <w:pPr>
        <w:jc w:val="both"/>
        <w:ind w:left="120" w:right="380"/>
        <w:spacing w:after="0" w:line="312"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(as defined below) and wish to attend the Annual Meeting, you should contact the bank, broker or other institution where you hold your account well in advance of the meeting if you have questions about obtaining your Control Number.</w:t>
      </w:r>
    </w:p>
    <w:p>
      <w:pPr>
        <w:spacing w:after="0" w:line="140" w:lineRule="exact"/>
        <w:rPr>
          <w:sz w:val="20"/>
          <w:szCs w:val="20"/>
          <w:color w:val="auto"/>
        </w:rPr>
      </w:pPr>
    </w:p>
    <w:p>
      <w:pPr>
        <w:ind w:left="120" w:right="1600"/>
        <w:spacing w:after="0" w:line="312" w:lineRule="auto"/>
        <w:rPr>
          <w:sz w:val="20"/>
          <w:szCs w:val="20"/>
          <w:color w:val="auto"/>
        </w:rPr>
      </w:pPr>
      <w:r>
        <w:rPr>
          <w:rFonts w:ascii="Times New Roman" w:cs="Times New Roman" w:eastAsia="Times New Roman" w:hAnsi="Times New Roman"/>
          <w:sz w:val="17"/>
          <w:szCs w:val="17"/>
          <w:color w:val="auto"/>
        </w:rPr>
        <w:t>If you are a CDI holder, to be admitted to the Annual Meeting, you will need to login as a guest. To view the meeting webcast visit https://web.lumiconnect.com/365203827 and register as a guest, but you will not be able to vote your CDIs during the meeting.</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 or CDIs.</w:t>
      </w:r>
    </w:p>
    <w:p>
      <w:pPr>
        <w:spacing w:after="0" w:line="225"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encourage you to access the Annual Meeting before it begins. Online check-in will start approximately 60 minutes before the meeting at 8:30 am (Australian Eastern Time) on Thursday, May 30, 2024 (3:30pm Pacific Time on Wednesday, May 29,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Please note that if you do not have your Control Number and you are a registered stockholder (that is, the shares are held in your name), operators at +1 (781) 575-2798 will be able to provide your Control Number to you.</w:t>
      </w:r>
    </w:p>
    <w:p>
      <w:pPr>
        <w:spacing w:after="0" w:line="162"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(as defined below) (that is, you hold your shares in an account at a bank, broker or other holder of record), you will need to contact that bank, broker or other holder of record to obtain your Control Number prior to the Annual Meeting.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have difficulty accessing the meeting, please call Lumi Technical Support: +61 (0) 2 8075 0100 where technicians will be available to help you.</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we ask questions of management and the board?</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We plan to have a Q&amp;A session at the Annual Meeting and will include as many questions as the allotted time permits. Only stockholders of record, beneficial owners of shares held in Street Name and CDI holders that attend the Annual Meeting via the virtual online facility will be able to ask questions at the Annual Meeting. If you have a specific question that you would like to submit to the chair of the meeting, please send your question via email to investors@life360.com OR to: Company Matters Level 12, 680 George Street, Sydney NSW Australia 2000 (PO Box 20547, World Square NSW Australia 2002) Attention: Graeme Blackett no later than Monday, May 27, 2024 at 11:30am Australian Eastern Time (Sunday, May 26, 2024 at 6:30pm Pacific Time). Only questions pertinent to the business to be conducted at the Annual Meeting will be answered during the meeting, subject to time constraints. Questions that are substantially similar may be grouped together to avoid repetition.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If I miss the Annual Meeting, will there be a copy posted online?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Yes, a replay of the Annual Meeting webcast will be available at our Investor Relations website at investors.life360.com and remain for at least one year.</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securityholders as of the Record Date will be entitled to vote at the Annual Meeting and any adjournment or postponement thereof:</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 of shares held in Street Name (as defined below) who obtain a “legal proxy” from their applicable broker, bank, trustee, or other nominee giving such holder the right to vote the shares at the Annual Meeting,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CDI holders who nominate themselves or another person to be appointed as CDN’s proxy with respect to the shares underlying their CDIs by completing Step 1 in the CDI Voting Instruction Form.</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If you own shares registered directly in your name with the Company’s U.S. share registrar, Computershare Trust Company, N.A. (“Computershare U.S.”), you are considered the stockholder of record with respect to those shares. As a stockholder of record, you have the right to grant your voting proxy directly to the Company or to vote in person at the Annual Meeting by registering and participating in the virtual online facility. Whether or not you plan to attend the meeting, we urge you to fill out and return or vote by proxy using a proxy card that you may request or that we may elect to deliver at a later time to ensure your vote is counted. Even if you currently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plan to attend the virtual meeting and vote your shares at the Annual Meeting, we recommend that you submit a proxy so that your vote will be counted if you later decide not to attend the meeting. If you submit your vote by proxy and later decide to vote in person at the Annual Meeting by registering and participating in the virtual online facility, the vote you submit at the Annual Meeting will override your proxy vote. See “How do I vote if I hold shares of Common Stock?” below.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Nominee</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trust or other nominee, then the broker, bank, trust or other nominee is considered to be the stockholder of record with respect to those shares, while you are considered the beneficial owner of those shares and your shares are held in street name (“Street Name”). Street Name holders generally cannot vote their shares directly. If you are a Street Name holder, you should expect to receive a voting instruction form and materials from your broker, bank, trust or other nominee with instructions on how to vote your shares based on the proposals and voting options disclosed in the voting instruction form. Since a Street Name holder is not the stockholder of record, the Street Name holder may not vote their shares in person via the virtual online facility at the Annual Meeting unless such holder obtains a “legal proxy” from their applicable broker, bank, trustee, or other nominee giving such holder the right to vote the shares at the Annual Meeting. See “How do I vote if I hold shares of Common Stock?” below.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CDI Holders</w:t>
      </w:r>
    </w:p>
    <w:p>
      <w:pPr>
        <w:spacing w:after="0" w:line="11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If you are a CDI holder, you can participate in the Annual Meeting by registering as a guest in the virtual online facility. However, because the holders of CDIs are not the legal owners of the underlying shares of Common Stock, CDI holders are unable to vote during the meeting, unless such holders have, prior to the Annual Meeting, nominated themselves or another person to be appointed as CDN’s proxy with respect to the shares underlying their CDIs by completing Step 2 in the CDI Voting Instruction Form. CHESS Depositary Nominees Pty Ltd (“CDN”) is the stockholder of record for all shares beneficially owned by holders of CDIs. Holders of CDIs are entitled to receive the Notice and attend the Annual Meeting and may vote by using the methods described in the CDI Voting Instruction Form. For votes to be counted, the CDI Voting Instruction Form must be lodged with the Company’s Australian share registrar, Computershare Investor Services Pty Limited (“Computershare AUS”), the agent the Company has designated for the collection and processing of voting instructions from the Company’s CDI holders, no later than 5:00 p.m. Australian Eastern Time on Friday,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24, 2024 (12:00 a.m. Pacific Time on Friday, May 24, 2024) and in a manner as set out in the Notice of Annual Meeting and this Proxy Statement.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Computershare AUS is required to follow the voting instructions properly received from holders of CDIs. See “How do I vote if I hold CDIs?”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eighteen matters scheduled for a vote:</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(Proposal 1);</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grant of RSUs and PRSUs to Chris Hulls for the purposes of ASX Listing Rule 10.14 (Proposal 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grant of RSUs to the non-executive directors for the purposes of ASX Listing Rule 10.14 (Proposals 3 to 10);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non-binding vote to approve the compensation of the Company’s named executive officers (Proposal 11);</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non-binding vote to approve the frequency of soliciting a non-binding advisory vote on the compensation of the Company’s named executive officers (Proposal 12);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selection by the Audit and Risk Management Committee of the Board of Deloitte &amp; Touche LLP as independent registered public accounting firm of the Company for its fiscal year ending December 31, 2023 (Proposal 13);</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increase the number of authorized shares (Proposal 14);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create a class of preferred stock (Proposal 15);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amend the authority to call a special meeting (Proposal 16);</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reflect Delaware law provisions regarding exculpation of officers (Proposal 17);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provide for an exclusive federal forum (Proposal 18).</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with discretionary authority on those matters in accordance with their best judgment.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if I hold shares of Common Stock?</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At the Annual Meeting, every holder of Common Stock present themselves or by proxy, is entitled to one vote for each share of Common Stock held on the Record Date on all matters submitted to a vote of the stockholders.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stockholder of record, you can vote in any of the following ways: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 person (virtual attendance)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Physical attendance at the Annual Meeting is not available. Stockholders may attend the virtual online facility by accessing the following link: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https://web.lumiconnect.com/365203827 and vote online using the facility during the meeting.</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Proxy forms</w:t>
      </w:r>
    </w:p>
    <w:p>
      <w:pPr>
        <w:spacing w:after="0" w:line="119" w:lineRule="exact"/>
        <w:rPr>
          <w:sz w:val="20"/>
          <w:szCs w:val="20"/>
          <w:color w:val="auto"/>
        </w:rPr>
      </w:pPr>
    </w:p>
    <w:p>
      <w:pPr>
        <w:ind w:left="120" w:right="400"/>
        <w:spacing w:after="0" w:line="312" w:lineRule="auto"/>
        <w:rPr>
          <w:sz w:val="20"/>
          <w:szCs w:val="20"/>
          <w:color w:val="auto"/>
        </w:rPr>
      </w:pPr>
      <w:r>
        <w:rPr>
          <w:rFonts w:ascii="Times New Roman" w:cs="Times New Roman" w:eastAsia="Times New Roman" w:hAnsi="Times New Roman"/>
          <w:sz w:val="17"/>
          <w:szCs w:val="17"/>
          <w:color w:val="auto"/>
        </w:rPr>
        <w:t>You may vote by submitting a signed and dated proxy card. To ensure your votes are cast, your signed and dated proxy card should be received by Computershare U.S. no later than 9:30 a.m. Australian Eastern Time on Tuesday, May 28, 2024 (4:30 pm Pacific Time on Monday, May 27, 2024).</w:t>
      </w:r>
    </w:p>
    <w:p>
      <w:pPr>
        <w:sectPr>
          <w:pgSz w:w="11900" w:h="16838" w:orient="portrait"/>
          <w:cols w:equalWidth="0" w:num="1">
            <w:col w:w="11120"/>
          </w:cols>
          <w:pgMar w:left="320" w:top="482" w:right="459" w:bottom="1440" w:gutter="0" w:footer="0" w:header="0"/>
        </w:sectPr>
      </w:pP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Computershare Investor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43001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 RI 02940-3001 USA</w:t>
      </w:r>
    </w:p>
    <w:p>
      <w:pPr>
        <w:spacing w:after="0" w:line="200" w:lineRule="exact"/>
        <w:rPr>
          <w:sz w:val="20"/>
          <w:szCs w:val="20"/>
          <w:color w:val="auto"/>
        </w:rPr>
      </w:pPr>
    </w:p>
    <w:p>
      <w:pPr>
        <w:sectPr>
          <w:pgSz w:w="11900" w:h="16838" w:orient="portrait"/>
          <w:cols w:equalWidth="0" w:num="2">
            <w:col w:w="940" w:space="720"/>
            <w:col w:w="9460"/>
          </w:cols>
          <w:pgMar w:left="320" w:top="482" w:right="459" w:bottom="1440" w:gutter="0" w:footer="0" w:header="0"/>
          <w:type w:val="continuous"/>
        </w:sectPr>
      </w:pP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www.investorvote.com/LFTI</w:t>
      </w:r>
    </w:p>
    <w:p>
      <w:pPr>
        <w:spacing w:after="0" w:line="200" w:lineRule="exact"/>
        <w:rPr>
          <w:sz w:val="20"/>
          <w:szCs w:val="20"/>
          <w:color w:val="auto"/>
        </w:rPr>
      </w:pPr>
    </w:p>
    <w:p>
      <w:pPr>
        <w:sectPr>
          <w:pgSz w:w="11900" w:h="16838" w:orient="portrait"/>
          <w:cols w:equalWidth="0" w:num="2">
            <w:col w:w="940" w:space="720"/>
            <w:col w:w="9460"/>
          </w:cols>
          <w:pgMar w:left="320" w:top="482" w:right="459" w:bottom="1440" w:gutter="0" w:footer="0" w:header="0"/>
          <w:type w:val="continuous"/>
        </w:sectPr>
      </w:pP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By phone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1-800-652-8683 (USA, US Territories &amp; Canada only). Follow the instructions provided by the recorded message.</w:t>
      </w:r>
    </w:p>
    <w:p>
      <w:pPr>
        <w:spacing w:after="0" w:line="169" w:lineRule="exact"/>
        <w:rPr>
          <w:sz w:val="20"/>
          <w:szCs w:val="20"/>
          <w:color w:val="auto"/>
        </w:rPr>
      </w:pPr>
    </w:p>
    <w:p>
      <w:pPr>
        <w:sectPr>
          <w:pgSz w:w="11900" w:h="16838" w:orient="portrait"/>
          <w:cols w:equalWidth="0" w:num="2">
            <w:col w:w="940" w:space="720"/>
            <w:col w:w="9460"/>
          </w:cols>
          <w:pgMar w:left="320" w:top="482"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120"/>
          </w:cols>
          <w:pgMar w:left="320" w:top="482" w:right="4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you choose to submit a proxy by phone or online, you will need to follow the directions or the Notice and use your 16-digit Control Number. Proxies submitted by phone or online must be submitted prior to 9:30 a.m. Australian Eastern Time on Tuesday, May 28, 2024 (4:30 p.m. Pacific Time on Monday, May 27, 2024).</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If you are a Street Name holder, you should receive a voting instruction form from your broker, bank, trust, or other nominee with instructions on how to vote your shares based on the proposals and voting options disclosed in the voting instruction form, which is similar to the voting procedures for stockholders of record. To vote </w:t>
      </w:r>
      <w:r>
        <w:rPr>
          <w:rFonts w:ascii="Times New Roman" w:cs="Times New Roman" w:eastAsia="Times New Roman" w:hAnsi="Times New Roman"/>
          <w:sz w:val="18"/>
          <w:szCs w:val="18"/>
          <w:i w:val="1"/>
          <w:iCs w:val="1"/>
          <w:color w:val="auto"/>
        </w:rPr>
        <w:t>prior to the meeting</w:t>
      </w:r>
      <w:r>
        <w:rPr>
          <w:rFonts w:ascii="Times New Roman" w:cs="Times New Roman" w:eastAsia="Times New Roman" w:hAnsi="Times New Roman"/>
          <w:sz w:val="18"/>
          <w:szCs w:val="18"/>
          <w:color w:val="auto"/>
        </w:rPr>
        <w:t>, simply follow the voting instructions in the voting instruction form to ensure that your vote is counted. To vote at the Annual Meeting, you must obtain a valid proxy from your broker, bank or other agent. Follow the instructions from your broker, bank or other agent included with these proxy materials, or contact that organization to request a proxy form.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 if I hold CDIs?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a CDI holder you may attend the virtual Annual Meeting but will not be able to lodge a vote at the meeting using the virtual online facility.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must therefore take one of the following actions in order to vote:</w:t>
      </w:r>
    </w:p>
    <w:p>
      <w:pPr>
        <w:spacing w:after="0" w:line="112" w:lineRule="exact"/>
        <w:rPr>
          <w:sz w:val="20"/>
          <w:szCs w:val="20"/>
          <w:color w:val="auto"/>
        </w:rPr>
      </w:pPr>
    </w:p>
    <w:p>
      <w:pPr>
        <w:ind w:left="1080" w:right="10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the shares underlying your CDIs by completing and returning your CDI Voting Instruction Form (as described above) which must be lodged with Computershare AUS by no later than 5:00 p.m. Australian Eastern Time on Friday, May 24 (12:00 a.m. Pacific Time on Friday, May 24, 2024), in accordance with the instructions on that form.</w:t>
      </w:r>
    </w:p>
    <w:p>
      <w:pPr>
        <w:sectPr>
          <w:pgSz w:w="11900" w:h="16838" w:orient="portrait"/>
          <w:cols w:equalWidth="0" w:num="1">
            <w:col w:w="11120"/>
          </w:cols>
          <w:pgMar w:left="320" w:top="482" w:right="459" w:bottom="1440" w:gutter="0" w:footer="0" w:header="0"/>
        </w:sectPr>
      </w:pP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By mail</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Registry – Computershare Investor Services Pty Limited, GPO Box 242, Melbourne Victoria 3001, Australia</w:t>
      </w:r>
    </w:p>
    <w:p>
      <w:pPr>
        <w:spacing w:after="0" w:line="207" w:lineRule="exact"/>
        <w:rPr>
          <w:sz w:val="20"/>
          <w:szCs w:val="20"/>
          <w:color w:val="auto"/>
        </w:rPr>
      </w:pPr>
    </w:p>
    <w:p>
      <w:pPr>
        <w:sectPr>
          <w:pgSz w:w="11900" w:h="16838" w:orient="portrait"/>
          <w:cols w:equalWidth="0" w:num="2">
            <w:col w:w="720" w:space="720"/>
            <w:col w:w="9680"/>
          </w:cols>
          <w:pgMar w:left="320" w:top="482" w:right="459" w:bottom="1440" w:gutter="0" w:footer="0" w:header="0"/>
          <w:type w:val="continuous"/>
        </w:sectPr>
      </w:pP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By fax</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783 447 (within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 3 9473 2555 (outside Australia)</w:t>
      </w:r>
    </w:p>
    <w:p>
      <w:pPr>
        <w:spacing w:after="0" w:line="200" w:lineRule="exact"/>
        <w:rPr>
          <w:sz w:val="20"/>
          <w:szCs w:val="20"/>
          <w:color w:val="auto"/>
        </w:rPr>
      </w:pPr>
    </w:p>
    <w:p>
      <w:pPr>
        <w:sectPr>
          <w:pgSz w:w="11900" w:h="16838" w:orient="portrait"/>
          <w:cols w:equalWidth="0" w:num="2">
            <w:col w:w="720" w:space="720"/>
            <w:col w:w="9680"/>
          </w:cols>
          <w:pgMar w:left="320" w:top="482" w:right="459" w:bottom="1440" w:gutter="0" w:footer="0" w:header="0"/>
          <w:type w:val="continuous"/>
        </w:sectPr>
      </w:pP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Online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www.investorvote.com.au</w:t>
      </w:r>
    </w:p>
    <w:p>
      <w:pPr>
        <w:spacing w:after="0" w:line="200" w:lineRule="exact"/>
        <w:rPr>
          <w:sz w:val="20"/>
          <w:szCs w:val="20"/>
          <w:color w:val="auto"/>
        </w:rPr>
      </w:pPr>
    </w:p>
    <w:p>
      <w:pPr>
        <w:sectPr>
          <w:pgSz w:w="11900" w:h="16838" w:orient="portrait"/>
          <w:cols w:equalWidth="0" w:num="2">
            <w:col w:w="720" w:space="720"/>
            <w:col w:w="9680"/>
          </w:cols>
          <w:pgMar w:left="320" w:top="482" w:right="459" w:bottom="1440" w:gutter="0" w:footer="0" w:header="0"/>
          <w:type w:val="continuous"/>
        </w:sectPr>
      </w:pPr>
    </w:p>
    <w:p>
      <w:pPr>
        <w:spacing w:after="0" w:line="64" w:lineRule="exact"/>
        <w:rPr>
          <w:sz w:val="20"/>
          <w:szCs w:val="20"/>
          <w:color w:val="auto"/>
        </w:rPr>
      </w:pPr>
    </w:p>
    <w:p>
      <w:pPr>
        <w:ind w:left="1080" w:right="6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Computershare AUS by no later than 5:00 p.m. Australian Eastern Time on Friday, May 24 (12:00 a.m. Pacific Time on Friday, May 24, 2024) that you wish to nominate yourself or another person to be appointed as CDN’s proxy with respect to the shares underlying your CDIs for the purposes of attending and voting at the Annual Meeting by completing Step 2 in the CDI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138430</wp:posOffset>
            </wp:positionV>
            <wp:extent cx="6998970" cy="492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33" w:lineRule="exact"/>
        <w:rPr>
          <w:sz w:val="20"/>
          <w:szCs w:val="20"/>
          <w:color w:val="auto"/>
        </w:rPr>
      </w:pPr>
    </w:p>
    <w:p>
      <w:pPr>
        <w:ind w:left="240" w:right="200"/>
        <w:spacing w:after="0" w:line="268" w:lineRule="auto"/>
        <w:rPr>
          <w:sz w:val="20"/>
          <w:szCs w:val="20"/>
          <w:color w:val="auto"/>
        </w:rPr>
      </w:pPr>
      <w:r>
        <w:rPr>
          <w:rFonts w:ascii="Times New Roman" w:cs="Times New Roman" w:eastAsia="Times New Roman" w:hAnsi="Times New Roman"/>
          <w:sz w:val="18"/>
          <w:szCs w:val="18"/>
          <w:b w:val="1"/>
          <w:bCs w:val="1"/>
          <w:color w:val="auto"/>
        </w:rPr>
        <w:t>Internet voting will be provided to allow you to vote your shares or CDIs online, with procedures designed to ensure the authenticity and correctness of your voting instructions. However, please be aware that you must bear any costs associated with your internet access, such as usage charges from internet access providers and telephone companies.</w:t>
      </w: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 Each CDI represents 1/3 of a share of Common Stock. Therefore, each CDI holder will be entitled to one vote for every 3 CDIs that they hold.</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at the Record Date, there are [●] shares of Common Stock outstanding (equivalent to [●] CDIs), all of which are entitled to vote with respect to the items to be acted upon at the Annual Meeting, subject to applicable voting exclusions. Therefore, there are currently a total of [●] votes entitled to be cast at the Annual Meeting.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my shares or CDIs be voted if I do not return my proxy or CDI Voting Instruction Form?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you hold your shares of Common Stock directly in your own name, they will not be voted if you do not provide a proxy or you personally vote at the Annual Meeting via the online voting platform. Your shares of Common Stock may be voted under limited circumstances if they are held in the name of a U.S. brokerage firm. U.S. brokerage firms generally have the authority to vote a customer’s unvoted shares on certain “routine” matters. At the Annual Meeting, the proposals to ratify the appointment of the Company’s independent public accountants and to approve the amendment to the Certificate of Incorporation to increase the number of authorized shares are the only “routine” matters. When a brokerage firm votes its customer’s unvoted shares, these shares are counted for the purposes of establishing a quorum.</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you hold CDIs, they will not be voted if your completed CDI Voting Instruction Form is not provided to Computershare AUS by 5:00 p.m. Australian Eastern Time on Friday, May 24, 2024 (12:00 a.m. Pacific Time on Friday, May 24, 2024), in accordance with the instructions on that form.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I return my proxy card or CDI Voting Instruction Form but do not include voting instructions?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Proxies that are signed and returned but do not include voting instructions will be voted “FOR” on Proposals 1 through 11 and 13 through 18 and, with respect to Proposal 12, for “ONE YEAR.”</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you are a Street Name holder and do not provide the organization that holds your shares with specific voting instructions, the organization that holds your shares may generally vote your shares on routine matters (which at the Annual Meeting, as we have been advised by NYSE, consists of the proposals to ratify the appointment of the Company’s independent public accountants and to approve the amendment to the Certificate of incorporation to increase the number of authorized shares) but cannot vote on non-routine matters. When a Street Name holder does not give voting instructions to his or her broker, bank or other securities intermediary holding his or her shares as to how to vote on matters deemed to be “non-routine” under NYSE rules, the broker, bank or other such securities intermediary cannot vote the shares. These un-voted shares are counted as “broker non-votes.” We have been advised by NYSE that Proposal Nos. 1 through 12 and 15 through 18 are considered to be “non-routine” under NYSE rules. Accordingly,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88"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If a CDI holder does not include voting instructions in the CDI Voting Instruction Form in respect of a proposal, no vote will be cast on that proposal for that CDI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Company will pay for the cost of proxy preparation and solicitation, including the reasonable charges and expenses of brokerage firms, banks, trusts, or other nominees for forwarding proxy materials to Street Name holders and CDI holders. The Company is soliciting proxies by mail. In addition, the directors, officers and regular employees of the Company may solicit proxies personally, telephonically, electronically or by other means of communication. The Company’s Directors, officers and regular employees will receive no additional compensation for their services other than their regular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or CDIs may be registered in more than one name or in different accounts. Please follow the voting instructions on the Notices to ensure that all of your shares are voted.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change my vote or revoke my proxy or voting instructions?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you are the record holder of your shares, you may revoke your proxy in any one of the following ways:</w:t>
      </w:r>
    </w:p>
    <w:p>
      <w:pPr>
        <w:spacing w:after="0" w:line="131" w:lineRule="exact"/>
        <w:rPr>
          <w:sz w:val="20"/>
          <w:szCs w:val="20"/>
          <w:color w:val="auto"/>
        </w:rPr>
      </w:pPr>
    </w:p>
    <w:p>
      <w:pPr>
        <w:ind w:left="1080" w:right="2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 written statement to that effect with Computershare U.S. at or before the taking of the vote at the Annual Meeting in the manner specified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signed proxy card with a later date or submitting a later proxy by phone or online;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using the virtual online facility, revoking your proxy, and voting via the online facility. Simply attending the meeting will not, by itself, revoke your proxy.</w:t>
      </w:r>
    </w:p>
    <w:p>
      <w:pPr>
        <w:spacing w:after="0" w:line="162"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written notice to Computershare U.S. should be delivered by not later than 9:30 a.m. Australian Eastern Time on Tuesday, May 28, 2024 (4:30 pm Pacific time on Monday, May 27, 2024). The written statement can be delivered to: c/o Computershare Investor Services, PO Box 43001, Providence, RI 02940-3001 USA.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you are a Street Name holder, you may submit new voting instructions by contacting your broker, bank, or other nominee. You may also change your vote or revoke your voting instructions in person via the virtual online facility at the Annual Meeting if you obtain a signed proxy from the record holder (broker, bank, or other nominee) giving you the right to vote the shares.</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you are a CDI holder and you complete the CDI Voting Instruction Form, you may revoke those directions by delivering to Computershare AUS, by 5:00 p.m. Australian Eastern Time on Friday, May 24, 2024 (12:00 a.m. Pacific Time on Friday, May 24, 2024), a written notice of revocation bearing a later date than the CDI Voting Instruction Form previously sent. The written statement can be delivered to Computershare Investor Services Pty Limited, GPO Box 242, Melbourne Victoria 3001, Australia, or hand delivered to such address. Alternatively, if you have previously submitted a completed CDI Voting Instruction Form to Computershare, you may change (but not revoke) your vote by logging on to www.investorvote.com.au by 5:00 p.m. Australian Eastern Time on Friday, May 24, 2024 (12:00 a.m. Pacific Time on Friday, May 24, 2024). In addition, if you are a CDI holder and prior to the Annual Meeting you nominate yourself or another person to be appointed as CDN’s proxy with respect to the shares underlying your CDIs by completing Step 2 in the CDI Voting Instruction Form, you may vote at the Annual Meeting.</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To be considered for inclusion in next year’s proxy materials, in accordance with Rule 14a-8 promulgated under the Securities Exchange Act of 1934, as amended (the “Exchange Act”), your proposal must be submitted in writing by [Monday, December 16, 2024] (Australia) [December 15, 2024] (U.S.)), to Life360, Inc., Attn: Management, 1900 S Norfolk Street, San Mateo, CA 94403. If you wish to submit a director nomination at the Annual Meeting that is not to be included in next year’s proxy materials, you must do so no later than 35 business days prior to the date of the annual meeting. In addition, stockholders who intend to solicit proxies in support of director nominees other than the Company’s nominees must also comply with the additional requirements of Rule 14a-19(b) promulgated under the Exchange Act. If you wish to bring a matter before the stockholders at this year’s annual meeting and you do not notify us before (i) for director nominations, Thursday, April 25, 2024 (Australia) (Wednesday, April 24, 2024 (U.S.)) or</w:t>
      </w:r>
    </w:p>
    <w:p>
      <w:pPr>
        <w:spacing w:after="0" w:line="2" w:lineRule="exact"/>
        <w:rPr>
          <w:sz w:val="20"/>
          <w:szCs w:val="20"/>
          <w:color w:val="auto"/>
        </w:rPr>
      </w:pPr>
    </w:p>
    <w:p>
      <w:pPr>
        <w:ind w:left="120" w:right="60" w:hanging="4"/>
        <w:spacing w:after="0" w:line="251" w:lineRule="auto"/>
        <w:tabs>
          <w:tab w:leader="none" w:pos="3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matters other than director nominations, Monday, March 4, 2024 (Australia) (Sunday, March 3, 2024 (U.S.)), for all proxies we receive, the proxyholders will have discretionary authority to vote on the matter, including discretionary authority to vote in opposition to the matter. If you wish to bring a matter before the stockholders at next year’s annual meeting and you do not notify us (i) for director nominations, at least 35 business days prior to the date of the annual meeting, or (ii) for matters other than director nominations, by [Saturday, March 1, 2025] (Australia) [Sunday, March 2, 2025] (U.S.)), for all proxies we receive, the proxyholders will have discretionary authority to vote on the matter, including discretionary authority to vote in opposition to the matter, provided that (i) the 2025 proxy statement briefly describes such matter and how proxyholders intend to vote on it and (ii) the stockholder does not comply with the requirements of Rule 14a-4(c)(2) promulgated under the Exchange Act. In addition, to comply with the universal proxy rules, stockholders who intend to solicit proxies in support of director nominees other than the Company’s nominees must provide notice that sets forth the information required by Rule 14a-19 promulgated under the Exchange Act no later than Wednesday, February 12, 2025 (Australia) (Tuesday, February 11, 2025 (U.S.)).</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 the proposal to elect directors (Proposal 1), votes “For,” “Withhold” and, if applicable, broker non-votes; with respect to the advisory vote on the frequency of solicitation of advisory stockholder approval of executive compensation (Proposal 12), votes for “One Year,” “Two Years,” “Three Years,” abstentions and, if applicable, broker non-votes; and, with respect to the other proposals, votes “For” and “Against,” abstentions and, if applicable, broker non-votes. Abstentions are not applicable with respect to Proposal 1. For Proposals 2 through 13, abstentions will have no effect and will not be counted towards the vote total for any of those proposals. For Proposals 14 through 18, abstentions will have the same effect as “Against” votes and will be counted towards the vote total.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proposals 1 through 12, broker non-votes (if any) will have no effect and will not be counted towards the vote total for any of these proposals.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Brokers are permitted to vote on Proposals 13 and 14.</w:t>
      </w:r>
    </w:p>
    <w:p>
      <w:pPr>
        <w:spacing w:after="0" w:line="207"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Proposals 15 through 18, broker non-votes (if any) will have the same effect as “Against” votes and will be counted towards the vote total for these proposals.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Are any stockholders excluded from voting?</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Under our Bylaws, matters submitted for stockholder approval generally require the approval of a majority of the votes cast affirmatively or negatively. However, ASX Listing Rule 14.11.1 provides that the votes entitled to be cast by certain holders must be disregarded in determining whether such proposal is approved by stockholders. Therefore, approval of Proposals 2 through 10 requires (i) the affirmative vote of the holders of a majority of the votes cast affirmatively or negatively, pursuant to our Bylaws, and (ii) the affirmative vote of the holders of a majority of the votes cast affirmatively or negatively by the holders who are not affected by the action contemplated by the proposal, pursuant to ASX Listing Rule 14.9. For purposes of calculating the vote, the Company will disregard any votes cast in favor of Proposals 2, 3, 4, 5, 6, 7, 8, 9 or 10 (respectively) by or on behalf of any person referred to in ASX Listing Rule 10.14.1 (i.e., directors of the Company), Rule 10.14.2 (i.e., any associate of any director of the Company) or Rule 10.14.3 (i.e., any person whose relationship with the entity or a person referred to in Rules 10.14.1 or 10.14.2 is, in ASX’s opinion, such that approval should be obtained).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above exclusions do not apply to a vote cast in favor of such proposals by:</w:t>
      </w:r>
    </w:p>
    <w:p>
      <w:pPr>
        <w:spacing w:after="0" w:line="131" w:lineRule="exact"/>
        <w:rPr>
          <w:sz w:val="20"/>
          <w:szCs w:val="20"/>
          <w:color w:val="auto"/>
        </w:rPr>
      </w:pPr>
    </w:p>
    <w:p>
      <w:pPr>
        <w:ind w:left="1080" w:right="48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as proxy or attorney for a person who is entitled to vote on the proposal, in accordance with directions given to the proxy or attorney to vote on the proposal in that way;</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 of the meeting as proxy or attorney for a person who is entitled to vote on the proposal, in accordance with a direction given to the chair to vote on the proposal as the chair decides; or</w:t>
      </w:r>
    </w:p>
    <w:p>
      <w:pPr>
        <w:spacing w:after="0" w:line="67"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acting solely in a nominee, trustee, custodial or other fiduciary capacity on behalf of a beneficiary provided the following conditions are met:</w:t>
      </w:r>
    </w:p>
    <w:p>
      <w:pPr>
        <w:spacing w:after="0" w:line="67"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beneficiary provides written confirmation to the holder that the beneficiary is not excluded from voting, and is not an associate of a person excluded from voting, on the proposal;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votes on the proposal in accordance with directions given by the beneficiary to the holder to vote in that way.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Subject to voting exclusion statements for a particular proposal, the following table summarizes the minimum vote needed to approve each proposal and the effect of abstentions.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88"/>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-635</wp:posOffset>
            </wp:positionV>
            <wp:extent cx="22117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1080" w:hanging="631"/>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Directors</w:t>
      </w:r>
    </w:p>
    <w:p>
      <w:pPr>
        <w:spacing w:after="0" w:line="300" w:lineRule="exact"/>
        <w:rPr>
          <w:sz w:val="20"/>
          <w:szCs w:val="20"/>
          <w:color w:val="auto"/>
        </w:rPr>
      </w:pPr>
    </w:p>
    <w:p>
      <w:pPr>
        <w:ind w:left="1080" w:right="40" w:hanging="631"/>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grant of RSUs and PRSUs to Chris Hulls</w:t>
      </w:r>
    </w:p>
    <w:p>
      <w:pPr>
        <w:spacing w:after="0" w:line="27" w:lineRule="exact"/>
        <w:rPr>
          <w:sz w:val="20"/>
          <w:szCs w:val="20"/>
          <w:color w:val="auto"/>
        </w:rPr>
      </w:pPr>
    </w:p>
    <w:p>
      <w:pPr>
        <w:ind w:left="1080" w:right="480" w:hanging="631"/>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grant of RSUs to John Philip Coghlan</w:t>
      </w:r>
    </w:p>
    <w:p>
      <w:pPr>
        <w:spacing w:after="0" w:line="27" w:lineRule="exact"/>
        <w:rPr>
          <w:sz w:val="20"/>
          <w:szCs w:val="20"/>
          <w:color w:val="auto"/>
        </w:rPr>
      </w:pPr>
    </w:p>
    <w:p>
      <w:pPr>
        <w:ind w:left="1080" w:hanging="631"/>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grant of RSUs to Brittany Morin</w:t>
      </w:r>
    </w:p>
    <w:p>
      <w:pPr>
        <w:spacing w:after="0" w:line="30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5Approval of grant of RSUs to James Synge</w:t>
      </w:r>
    </w:p>
    <w:p>
      <w:pPr>
        <w:spacing w:after="0" w:line="306"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6Approval of grant of RSUs to Mark Goines</w:t>
      </w:r>
    </w:p>
    <w:p>
      <w:pPr>
        <w:spacing w:after="0" w:line="306" w:lineRule="exact"/>
        <w:rPr>
          <w:sz w:val="20"/>
          <w:szCs w:val="20"/>
          <w:color w:val="auto"/>
        </w:rPr>
      </w:pPr>
    </w:p>
    <w:p>
      <w:pPr>
        <w:ind w:left="1080" w:right="860" w:hanging="631"/>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grant of RSUs to David Wiadrowski</w:t>
      </w:r>
    </w:p>
    <w:p>
      <w:pPr>
        <w:spacing w:after="0" w:line="27" w:lineRule="exact"/>
        <w:rPr>
          <w:sz w:val="20"/>
          <w:szCs w:val="20"/>
          <w:color w:val="auto"/>
        </w:rPr>
      </w:pPr>
    </w:p>
    <w:p>
      <w:pPr>
        <w:ind w:left="1080" w:hanging="631"/>
        <w:spacing w:after="0"/>
        <w:tabs>
          <w:tab w:leader="none" w:pos="10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grant of RSUs to Randi Zuckerberg</w:t>
      </w:r>
    </w:p>
    <w:p>
      <w:pPr>
        <w:spacing w:after="0" w:line="317"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9Approval of grant of RSUs to Alex Haro</w:t>
      </w:r>
    </w:p>
    <w:p>
      <w:pPr>
        <w:spacing w:after="0" w:line="306"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10Approval of grant of RSUs to Charles Prober</w:t>
      </w:r>
    </w:p>
    <w:p>
      <w:pPr>
        <w:spacing w:after="0" w:line="306" w:lineRule="exact"/>
        <w:rPr>
          <w:rFonts w:ascii="Times New Roman" w:cs="Times New Roman" w:eastAsia="Times New Roman" w:hAnsi="Times New Roman"/>
          <w:sz w:val="17"/>
          <w:szCs w:val="17"/>
          <w:color w:val="auto"/>
        </w:rPr>
      </w:pPr>
    </w:p>
    <w:p>
      <w:pPr>
        <w:ind w:left="4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11Advisory vote on executive compensation</w:t>
      </w:r>
    </w:p>
    <w:p>
      <w:pPr>
        <w:spacing w:after="0" w:line="306" w:lineRule="exact"/>
        <w:rPr>
          <w:sz w:val="20"/>
          <w:szCs w:val="20"/>
          <w:color w:val="auto"/>
        </w:rPr>
      </w:pPr>
    </w:p>
    <w:p>
      <w:pPr>
        <w:jc w:val="both"/>
        <w:ind w:left="1080" w:right="160" w:hanging="676"/>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on the frequency of solicitation of advisory stockholder approval of executive compensation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8" w:lineRule="exact"/>
        <w:rPr>
          <w:rFonts w:ascii="Times New Roman" w:cs="Times New Roman" w:eastAsia="Times New Roman" w:hAnsi="Times New Roman"/>
          <w:sz w:val="18"/>
          <w:szCs w:val="18"/>
          <w:color w:val="auto"/>
        </w:rPr>
      </w:pPr>
    </w:p>
    <w:p>
      <w:pPr>
        <w:ind w:left="1080" w:right="360" w:hanging="676"/>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selection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-737235</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11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9"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8"/>
          <w:szCs w:val="18"/>
          <w:color w:val="auto"/>
        </w:rPr>
        <w:t>Nominees receiving the most “For” votes; withheld votes will have no effect.</w:t>
      </w:r>
    </w:p>
    <w:p>
      <w:pPr>
        <w:spacing w:after="0" w:line="3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of votes cast; however, because it is possible that no frequency will receive this vote, the frequency choice that receives the greatest number of votes will be viewed as the advisory vote on the matter</w:t>
      </w:r>
    </w:p>
    <w:p>
      <w:pPr>
        <w:spacing w:after="0" w:line="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votes from the holders of a majority of votes cast affirmatively or negatively</w:t>
      </w:r>
    </w:p>
    <w:p>
      <w:pPr>
        <w:spacing w:after="0" w:line="200" w:lineRule="exact"/>
        <w:rPr>
          <w:sz w:val="20"/>
          <w:szCs w:val="20"/>
          <w:color w:val="auto"/>
        </w:rPr>
      </w:pPr>
    </w:p>
    <w:p>
      <w:pPr>
        <w:spacing w:after="0" w:line="32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 of Broker</w:t>
            </w:r>
          </w:p>
        </w:tc>
      </w:tr>
      <w:tr>
        <w:trPr>
          <w:trHeight w:val="187"/>
        </w:trPr>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28"/>
        </w:trPr>
        <w:tc>
          <w:tcPr>
            <w:tcW w:w="1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22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495"/>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r>
        <w:trPr>
          <w:trHeight w:val="513"/>
        </w:trPr>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effect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color w:val="auto"/>
        </w:rPr>
        <w:t>No effect</w:t>
      </w:r>
      <w:r>
        <w:rPr>
          <w:sz w:val="20"/>
          <w:szCs w:val="20"/>
          <w:color w:val="auto"/>
        </w:rPr>
        <w:tab/>
      </w:r>
      <w:r>
        <w:rPr>
          <w:rFonts w:ascii="Times New Roman" w:cs="Times New Roman" w:eastAsia="Times New Roman" w:hAnsi="Times New Roman"/>
          <w:sz w:val="17"/>
          <w:szCs w:val="17"/>
          <w:color w:val="auto"/>
        </w:rPr>
        <w:t>Brokers are</w:t>
      </w:r>
    </w:p>
    <w:p>
      <w:pPr>
        <w:spacing w:after="0" w:line="2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permitted to</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vote on this</w:t>
      </w:r>
    </w:p>
    <w:p>
      <w:pPr>
        <w:spacing w:after="0" w:line="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proposal</w:t>
      </w:r>
    </w:p>
    <w:p>
      <w:pPr>
        <w:sectPr>
          <w:pgSz w:w="11900" w:h="16838" w:orient="portrait"/>
          <w:cols w:equalWidth="0" w:num="3">
            <w:col w:w="4560" w:space="220"/>
            <w:col w:w="3340" w:space="360"/>
            <w:col w:w="266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0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0" w:type="dxa"/>
            <w:vAlign w:val="bottom"/>
          </w:tcPr>
          <w:p>
            <w:pPr>
              <w:spacing w:after="0"/>
              <w:rPr>
                <w:sz w:val="1"/>
                <w:szCs w:val="1"/>
                <w:color w:val="auto"/>
              </w:rPr>
            </w:pPr>
          </w:p>
        </w:tc>
      </w:tr>
      <w:tr>
        <w:trPr>
          <w:trHeight w:val="188"/>
        </w:trPr>
        <w:tc>
          <w:tcPr>
            <w:tcW w:w="130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-635</wp:posOffset>
            </wp:positionV>
            <wp:extent cx="2211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ind w:left="1080" w:right="100" w:hanging="676"/>
        <w:spacing w:after="0" w:line="26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increase the number of authorized shares</w:t>
      </w:r>
    </w:p>
    <w:p>
      <w:pPr>
        <w:spacing w:after="0" w:line="260" w:lineRule="exact"/>
        <w:rPr>
          <w:rFonts w:ascii="Times New Roman" w:cs="Times New Roman" w:eastAsia="Times New Roman" w:hAnsi="Times New Roman"/>
          <w:sz w:val="18"/>
          <w:szCs w:val="18"/>
          <w:color w:val="auto"/>
        </w:rPr>
      </w:pPr>
    </w:p>
    <w:p>
      <w:pPr>
        <w:ind w:left="1080" w:right="100" w:hanging="676"/>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create a class of Preferred Stock</w:t>
      </w:r>
    </w:p>
    <w:p>
      <w:pPr>
        <w:spacing w:after="0" w:line="40" w:lineRule="exact"/>
        <w:rPr>
          <w:rFonts w:ascii="Times New Roman" w:cs="Times New Roman" w:eastAsia="Times New Roman" w:hAnsi="Times New Roman"/>
          <w:sz w:val="18"/>
          <w:szCs w:val="18"/>
          <w:color w:val="auto"/>
        </w:rPr>
      </w:pPr>
    </w:p>
    <w:p>
      <w:pPr>
        <w:jc w:val="both"/>
        <w:ind w:left="1080" w:right="40" w:hanging="676"/>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amend the authority to call a Special Meeting</w:t>
      </w:r>
    </w:p>
    <w:p>
      <w:pPr>
        <w:spacing w:after="0" w:line="40" w:lineRule="exact"/>
        <w:rPr>
          <w:rFonts w:ascii="Times New Roman" w:cs="Times New Roman" w:eastAsia="Times New Roman" w:hAnsi="Times New Roman"/>
          <w:sz w:val="18"/>
          <w:szCs w:val="18"/>
          <w:color w:val="auto"/>
        </w:rPr>
      </w:pPr>
    </w:p>
    <w:p>
      <w:pPr>
        <w:ind w:left="1080" w:hanging="676"/>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reflect Delaware law provisions regarding exculpation of officers</w:t>
      </w:r>
    </w:p>
    <w:p>
      <w:pPr>
        <w:spacing w:after="0" w:line="40" w:lineRule="exact"/>
        <w:rPr>
          <w:rFonts w:ascii="Times New Roman" w:cs="Times New Roman" w:eastAsia="Times New Roman" w:hAnsi="Times New Roman"/>
          <w:sz w:val="18"/>
          <w:szCs w:val="18"/>
          <w:color w:val="auto"/>
        </w:rPr>
      </w:pPr>
    </w:p>
    <w:p>
      <w:pPr>
        <w:ind w:left="1080" w:right="100" w:hanging="676"/>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amendment to the Certificate of Incorporation to provide for an exclusive federal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16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7"/>
        </w:trPr>
        <w:tc>
          <w:tcPr>
            <w:tcW w:w="3700" w:type="dxa"/>
            <w:vAlign w:val="bottom"/>
            <w:gridSpan w:val="2"/>
            <w:vMerge w:val="continue"/>
          </w:tcPr>
          <w:p>
            <w:pPr>
              <w:spacing w:after="0"/>
              <w:rPr>
                <w:sz w:val="16"/>
                <w:szCs w:val="16"/>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191"/>
        </w:trPr>
        <w:tc>
          <w:tcPr>
            <w:tcW w:w="3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220" w:type="dxa"/>
            <w:vAlign w:val="bottom"/>
          </w:tcPr>
          <w:p>
            <w:pPr>
              <w:spacing w:after="0"/>
              <w:rPr>
                <w:sz w:val="16"/>
                <w:szCs w:val="16"/>
                <w:color w:val="auto"/>
              </w:rPr>
            </w:pPr>
          </w:p>
        </w:tc>
        <w:tc>
          <w:tcPr>
            <w:tcW w:w="14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Against</w:t>
            </w: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Brokers are</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permitted to</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vote on this</w:t>
            </w:r>
          </w:p>
        </w:tc>
        <w:tc>
          <w:tcPr>
            <w:tcW w:w="0" w:type="dxa"/>
            <w:vAlign w:val="bottom"/>
          </w:tcPr>
          <w:p>
            <w:pPr>
              <w:spacing w:after="0"/>
              <w:rPr>
                <w:sz w:val="1"/>
                <w:szCs w:val="1"/>
                <w:color w:val="auto"/>
              </w:rPr>
            </w:pPr>
          </w:p>
        </w:tc>
      </w:tr>
      <w:tr>
        <w:trPr>
          <w:trHeight w:val="234"/>
        </w:trPr>
        <w:tc>
          <w:tcPr>
            <w:tcW w:w="3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proposal</w:t>
            </w:r>
          </w:p>
        </w:tc>
        <w:tc>
          <w:tcPr>
            <w:tcW w:w="0" w:type="dxa"/>
            <w:vAlign w:val="bottom"/>
          </w:tcPr>
          <w:p>
            <w:pPr>
              <w:spacing w:after="0"/>
              <w:rPr>
                <w:sz w:val="1"/>
                <w:szCs w:val="1"/>
                <w:color w:val="auto"/>
              </w:rPr>
            </w:pPr>
          </w:p>
        </w:tc>
      </w:tr>
      <w:tr>
        <w:trPr>
          <w:trHeight w:val="27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5"/>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votes from the holders of a majority of</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Against</w:t>
            </w:r>
          </w:p>
        </w:tc>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outstanding Common Stock</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sectPr>
          <w:pgSz w:w="11900" w:h="16838" w:orient="portrait"/>
          <w:cols w:equalWidth="0" w:num="2">
            <w:col w:w="4400" w:space="380"/>
            <w:col w:w="6360"/>
          </w:cols>
          <w:pgMar w:left="320" w:top="482" w:right="439" w:bottom="1440" w:gutter="0" w:footer="0" w:header="0"/>
          <w:type w:val="continuous"/>
        </w:sectPr>
      </w:pPr>
    </w:p>
    <w:p>
      <w:pPr>
        <w:ind w:left="540" w:right="20" w:hanging="424"/>
        <w:spacing w:after="0" w:line="255"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noted above, for purposes of calculating the voting results pursuant to ASX Listing Rule 14.11.1 the Company will disregard certain votes. See “Questions and Answers About These Proxy Materials and Voting—Are any stockholders excluded from voting?” for more information. Accordingly, approval of these proposals will require (i) the affirmative vote of the holders of a majority of the votes cast affirmatively or negatively, pursuant to our Bylaws, and (ii) the affirmative vote of the holders of a majority of the votes cast affirmatively or negatively by the holders who are not affected by the action contemplated by the proposal, pursuant to ASX Listing Rule 14.11.1. In the event a vote is cast on a proposal by or on behalf of any person whose vote must be disregarded as noted above, the vote will have no effect on the outcome of the proposal for purposes of calculating the voting results.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holders of at least one-third of the shares issued and outstanding and entitled to vote are present in person via the virtual online facility at the Annual Meeting or represented by proxy (evidenced by a properly returned proxy card (in the case of holders of Common Stock) or CDI Voting Instruction Form (in the case of holders of CDIs). On the Record Date, there were [●] shares of Common Stock (including Common Stock underlying CDIs) issued and outstanding and entitled to vote.</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 of the meeting or the holders of a majority of shares present at the meeting or represented by proxy may adjourn the meeting to another date and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possible, of one-third of the total number of directors, and each class has a three-year term. The Board presently has nine members. There are three directors in Class II whose term of office expires in 2024. Each of the nominees listed below is currently a director of the Company who was previously elected by stockholders. If elected at the Annual Meeting, each of these nominees would serve for a term expiring at the 2027 annual meeting and hold office until his or her successor has been duly elected and qualified, or, if sooner, until the director’s death, resignation or removal. It is the Company’s policy to encourage directors and nominees for director to attend the Annual Meeting. All of the directors attended the 2023 Annual Meeting of Stockholders.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cast on the election of directors by holders of shares present at the meeting or represented by proxy.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the Company. Each person nominated for election has agreed to serve if elected. The Company’s management has no reason to believe that any nominee will be unable to serve.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brief biography of each nominee and each director whose term will continue after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Election for a Three-Year Term Expiring at the 2027 Annual Meeting</w:t>
      </w:r>
    </w:p>
    <w:p>
      <w:pPr>
        <w:spacing w:after="0" w:line="11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b w:val="1"/>
          <w:bCs w:val="1"/>
          <w:color w:val="auto"/>
        </w:rPr>
        <w:t>Brittany Morin</w:t>
      </w:r>
      <w:r>
        <w:rPr>
          <w:rFonts w:ascii="Times New Roman" w:cs="Times New Roman" w:eastAsia="Times New Roman" w:hAnsi="Times New Roman"/>
          <w:sz w:val="18"/>
          <w:szCs w:val="18"/>
          <w:color w:val="auto"/>
        </w:rPr>
        <w:t>, age 38, has served as a member of Life360’s Board since January 2018. Ms. Morin founded BFF, a web3 platform and brand created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women in January 2022, and co-founded Offline Ventures, an early stage venture fund, in March 2020 and is the founder, chief executive officer and board member of Brit Media, Inc., a digital media and commerce brand, founded in 2011. She also previously served on the board of Girl Scouts of America and worked at Google LLC (Nasdaq: GOOG)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Ms. Morin was selected to serve on the Board due to her entrepreneurial experience starting and leading venture capital and consumer internet companies.</w:t>
      </w:r>
    </w:p>
    <w:p>
      <w:pPr>
        <w:spacing w:after="0" w:line="187"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We believe that Ms. Morin is qualified to serve on the Board due to her extensive background investing in and advising technology and public companies.</w:t>
      </w:r>
    </w:p>
    <w:p>
      <w:pPr>
        <w:spacing w:after="0" w:line="158"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James Synge</w:t>
      </w:r>
      <w:r>
        <w:rPr>
          <w:rFonts w:ascii="Times New Roman" w:cs="Times New Roman" w:eastAsia="Times New Roman" w:hAnsi="Times New Roman"/>
          <w:sz w:val="18"/>
          <w:szCs w:val="18"/>
          <w:color w:val="auto"/>
        </w:rPr>
        <w:t>, age 56, has served as a member of Life360’s Board since May 2019 and started as an early investor in 2008. Mr. Synge has also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 Mr. Synge was selected to serve on the Board due to his venture capital experience and extensive financial industry knowledge.</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believe that Mr. Synge is qualified to serve on the Board due to his executive experience and industry expertise gained from serving on the board of multiple growth focused technology and app-building companies.</w:t>
      </w:r>
    </w:p>
    <w:p>
      <w:pPr>
        <w:spacing w:after="0" w:line="158"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b w:val="1"/>
          <w:bCs w:val="1"/>
          <w:color w:val="auto"/>
        </w:rPr>
        <w:t>David Wiadrowski</w:t>
      </w:r>
      <w:r>
        <w:rPr>
          <w:rFonts w:ascii="Times New Roman" w:cs="Times New Roman" w:eastAsia="Times New Roman" w:hAnsi="Times New Roman"/>
          <w:sz w:val="18"/>
          <w:szCs w:val="18"/>
          <w:color w:val="auto"/>
        </w:rPr>
        <w:t>, age 64, has served as a member of Life360’s Board since March 2019. Mr. Wiadrowski previously served as Director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of ELEVACAO Foundation, Inc., an Australian non-profit committed to empowering women entrepreneurs, from July 2016 to July 2017, and prior thereto</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served in various positions at PricewaterhouseCoopers Australia over a 37 year period, including as Partner and Chief Operating Officer. He currently also serves on the boards of three other Australian listed companies including: oOh! Media Limited (ASX: OML), Carsales.com Limited (ASX: CAR), and IPH Limited (ASX: IPH), and on the boards of several private companies including the Cambodian Children’s Fund Australia Limited. He holds a Bachelor of Commerce from the University of New South Wales, is a Fellow of the Chartered Accountants of Australia and New Zealand and is a graduate of the Australian Institute of Company Directors. Mr. Wiadrowski was selected to serve on the Board due to his financial industry expertise and experience serving on the boards of several Australian public companies.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believe that Mr. Wiadrowski is qualified to serve on the Board due to his extensive finance and accounting expertise and experience.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V</w:t>
      </w:r>
      <w:r>
        <w:rPr>
          <w:rFonts w:ascii="Times New Roman" w:cs="Times New Roman" w:eastAsia="Times New Roman" w:hAnsi="Times New Roman"/>
          <w:sz w:val="14"/>
          <w:szCs w:val="14"/>
          <w:b w:val="1"/>
          <w:bCs w:val="1"/>
          <w:color w:val="auto"/>
        </w:rPr>
        <w:t>OTE</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AVOR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ACH</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AMED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OMINEE</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2025 Annual Meeting</w:t>
      </w:r>
    </w:p>
    <w:p>
      <w:pPr>
        <w:spacing w:after="0" w:line="11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Chris Hulls</w:t>
      </w:r>
      <w:r>
        <w:rPr>
          <w:rFonts w:ascii="Times New Roman" w:cs="Times New Roman" w:eastAsia="Times New Roman" w:hAnsi="Times New Roman"/>
          <w:sz w:val="18"/>
          <w:szCs w:val="18"/>
          <w:color w:val="auto"/>
        </w:rPr>
        <w:t>, age 40, co-founded Life360 in April 2007 and has served as Life360’s Chief Executive Officer and a member of Life360’s Board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Mr. Hulls has been an angel investor in, or an advisor to, several technology companies, including Tile, Inc. (“Tile”), Credible Behavioral Health, Inc., Ring LLC, Automattic Inc., Honk Technologies, Inc. and Zendrive Inc. Mr. Hulls received his Bachelor of Science in Business Administration with Highest Honors at the University of California, Berkeley after serving in the United States Air Force. Mr. Hulls has served on the Board since the Company’s formation and has remained on the Board due to the deep institutional knowledge he brings as Co-Founder and Chief Executive Officer of the Company and his business and technology company experience.</w:t>
      </w:r>
    </w:p>
    <w:p>
      <w:pPr>
        <w:spacing w:after="0" w:line="18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color w:val="auto"/>
        </w:rPr>
        <w:t>Charles “CJ” Prober</w:t>
      </w:r>
      <w:r>
        <w:rPr>
          <w:rFonts w:ascii="Times New Roman" w:cs="Times New Roman" w:eastAsia="Times New Roman" w:hAnsi="Times New Roman"/>
          <w:sz w:val="18"/>
          <w:szCs w:val="18"/>
          <w:color w:val="auto"/>
        </w:rPr>
        <w:t>, age 52, has served as a member of Life360’s Board since January 2022 and has served as and the Chief Executive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 of the board of directors of NETGEAR, Inc. since January 2024. Mr. Prober also served as Life360’s President and Chief Executive Officer of Life360’s subsidiary Tile, Inc. from January 2022 to July 2023. Prior to this,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Glorious Gaming since January 2024.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consumer electronics industry.</w:t>
      </w:r>
    </w:p>
    <w:p>
      <w:pPr>
        <w:spacing w:after="0" w:line="18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b w:val="1"/>
          <w:bCs w:val="1"/>
          <w:color w:val="auto"/>
        </w:rPr>
        <w:t>John Philip Coghlan</w:t>
      </w:r>
      <w:r>
        <w:rPr>
          <w:rFonts w:ascii="Times New Roman" w:cs="Times New Roman" w:eastAsia="Times New Roman" w:hAnsi="Times New Roman"/>
          <w:sz w:val="18"/>
          <w:szCs w:val="18"/>
          <w:color w:val="auto"/>
        </w:rPr>
        <w:t>, age 72, has served as a member of Life360’s Board since November 2009. In February 2017, Mr. Coghlan co-founded the Rivet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School, a 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University, a Master of Arts in Economics and Public Policy from Princeton University and a Master of Business Administration from Harvard Business School. Mr. Coghlan was selected to serve on the Board due to his experience as an executive and board member of multiple large companies.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2026 Annual Meeting</w:t>
      </w:r>
    </w:p>
    <w:p>
      <w:pPr>
        <w:spacing w:after="0" w:line="117"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color w:val="auto"/>
        </w:rPr>
        <w:t>Mark Goines</w:t>
      </w:r>
      <w:r>
        <w:rPr>
          <w:rFonts w:ascii="Times New Roman" w:cs="Times New Roman" w:eastAsia="Times New Roman" w:hAnsi="Times New Roman"/>
          <w:sz w:val="18"/>
          <w:szCs w:val="18"/>
          <w:color w:val="auto"/>
        </w:rPr>
        <w:t>, age 70, has served as a member of Life360’s Board since May 2019. Mr. Goines served as the Vice Chairman of Personal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from June 2016 to September 2020 and as its Chief Marketing</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Officer and Chief Strategy Officer from January 2012 to September 2020. He currently serves on the boards of several private technology and app building companies, including BillFloat, Inc., Odeko, LLC, Ascend Companies, Inc., Candex Solutions Inc., Human Interest, Inc., Chocolate Holdings LLC and Bloom Credit Inc. Mr. Goines earned his Bachelor of Science and Master of Business Administration from the University of California, Berkeley. Mr. Goines was selected to serve on the Board due to his extensive experience and industry expertise gained from serving on the board of multiple growth focused technology and app-building companies.</w:t>
      </w:r>
    </w:p>
    <w:p>
      <w:pPr>
        <w:spacing w:after="0" w:line="179" w:lineRule="exact"/>
        <w:rPr>
          <w:sz w:val="20"/>
          <w:szCs w:val="20"/>
          <w:color w:val="auto"/>
        </w:rPr>
      </w:pPr>
    </w:p>
    <w:p>
      <w:pPr>
        <w:ind w:left="120" w:right="20"/>
        <w:spacing w:after="0" w:line="275" w:lineRule="auto"/>
        <w:rPr>
          <w:sz w:val="20"/>
          <w:szCs w:val="20"/>
          <w:color w:val="auto"/>
        </w:rPr>
      </w:pPr>
      <w:r>
        <w:rPr>
          <w:rFonts w:ascii="Times New Roman" w:cs="Times New Roman" w:eastAsia="Times New Roman" w:hAnsi="Times New Roman"/>
          <w:sz w:val="17"/>
          <w:szCs w:val="17"/>
          <w:b w:val="1"/>
          <w:bCs w:val="1"/>
          <w:color w:val="auto"/>
        </w:rPr>
        <w:t>Alex Haro</w:t>
      </w:r>
      <w:r>
        <w:rPr>
          <w:rFonts w:ascii="Times New Roman" w:cs="Times New Roman" w:eastAsia="Times New Roman" w:hAnsi="Times New Roman"/>
          <w:sz w:val="17"/>
          <w:szCs w:val="17"/>
          <w:color w:val="auto"/>
        </w:rPr>
        <w:t>, age 38, co-founded Life360, has served as a member of Life360’s Board since August 2008 and previously served as Life360’s 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June 2014 to January 2020 and Chief Technology Officer from August 2008 to December 2020. Since October 2021, he has served as a board member and executive chairman for Hubble Network Inc. In January 2020, Mr. Haro co-founded and currently serves as the Chief Technology Officer and board member of MyMoneyKarma Infomatics India Private Limited. In 2015, Mr. Haro was recognized by Forbes 30 Under 30 in Consumer Technology. Prior to Life360, he worked on Orbited. Mr. Haro studied Computer Science at Pomona College. Mr. Haro was selected to serve on the Board due to his institutional knowledge as a Co-Founder and former Chief Technology Officer, as well as his extensive technology industry experience.</w:t>
      </w:r>
    </w:p>
    <w:p>
      <w:pPr>
        <w:spacing w:after="0" w:line="168"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b w:val="1"/>
          <w:bCs w:val="1"/>
          <w:color w:val="auto"/>
        </w:rPr>
        <w:t>Randi Zuckerberg</w:t>
      </w:r>
      <w:r>
        <w:rPr>
          <w:rFonts w:ascii="Times New Roman" w:cs="Times New Roman" w:eastAsia="Times New Roman" w:hAnsi="Times New Roman"/>
          <w:sz w:val="17"/>
          <w:szCs w:val="17"/>
          <w:color w:val="auto"/>
        </w:rPr>
        <w:t>, age 42, has served as a member of Life360’s Board since January 2021. Ms. Zuckerberg currently works with more than 20 early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mid-stage companies as an investor and advisor. She serves as a member of the boards of several companies including Athena Technology Acquisition Corp. II (NYSE: ATEK), a special purpose acquisition company, Go Noodle, Inc. and The Motley Fool, LLC.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three Tony awards, a Drama Desk Award, and a Kidscreen Award. Prior to founding her own company,</w:t>
      </w:r>
    </w:p>
    <w:p>
      <w:pPr>
        <w:spacing w:after="0" w:line="4" w:lineRule="exact"/>
        <w:rPr>
          <w:sz w:val="20"/>
          <w:szCs w:val="20"/>
          <w:color w:val="auto"/>
        </w:rPr>
      </w:pPr>
    </w:p>
    <w:p>
      <w:pPr>
        <w:ind w:left="120" w:right="500"/>
        <w:spacing w:after="0" w:line="255" w:lineRule="auto"/>
        <w:rPr>
          <w:sz w:val="20"/>
          <w:szCs w:val="20"/>
          <w:color w:val="auto"/>
        </w:rPr>
      </w:pPr>
      <w:r>
        <w:rPr>
          <w:rFonts w:ascii="Times New Roman" w:cs="Times New Roman" w:eastAsia="Times New Roman" w:hAnsi="Times New Roman"/>
          <w:sz w:val="18"/>
          <w:szCs w:val="18"/>
          <w:color w:val="auto"/>
        </w:rPr>
        <w:t>Ms. Zuckerberg was an early employee at Facebook, where she created Facebook Live. She holds a Bachelor of Arts in Psychology from Harvard University. Ms. Zuckerberg was selected to serve on the Board due to her extensive background investing in and advising technology and public companies.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w:t>
      </w:r>
    </w:p>
    <w:p>
      <w:pPr>
        <w:spacing w:after="0" w:line="250" w:lineRule="exact"/>
        <w:rPr>
          <w:sz w:val="20"/>
          <w:szCs w:val="20"/>
          <w:color w:val="auto"/>
        </w:rPr>
      </w:pPr>
    </w:p>
    <w:tbl>
      <w:tblPr>
        <w:tblLayout w:type="fixed"/>
        <w:tblInd w:w="130" w:type="dxa"/>
        <w:tblCellMar>
          <w:top w:w="0" w:type="dxa"/>
          <w:left w:w="0" w:type="dxa"/>
          <w:bottom w:w="0" w:type="dxa"/>
          <w:right w:w="0" w:type="dxa"/>
        </w:tblCellMar>
      </w:tblPr>
      <w:tr>
        <w:trPr>
          <w:trHeight w:val="162"/>
        </w:trPr>
        <w:tc>
          <w:tcPr>
            <w:tcW w:w="6380" w:type="dxa"/>
            <w:vAlign w:val="bottom"/>
            <w:tcBorders>
              <w:top w:val="single" w:sz="8" w:color="auto"/>
              <w:left w:val="single" w:sz="8" w:color="auto"/>
              <w:bottom w:val="single" w:sz="8" w:color="auto"/>
            </w:tcBorders>
          </w:tcPr>
          <w:p>
            <w:pPr>
              <w:ind w:left="4040"/>
              <w:spacing w:after="0"/>
              <w:rPr>
                <w:sz w:val="20"/>
                <w:szCs w:val="20"/>
                <w:color w:val="auto"/>
              </w:rPr>
            </w:pPr>
            <w:r>
              <w:rPr>
                <w:rFonts w:ascii="Times New Roman" w:cs="Times New Roman" w:eastAsia="Times New Roman" w:hAnsi="Times New Roman"/>
                <w:sz w:val="14"/>
                <w:szCs w:val="14"/>
                <w:b w:val="1"/>
                <w:bCs w:val="1"/>
                <w:color w:val="auto"/>
                <w:w w:val="99"/>
              </w:rPr>
              <w:t>Board Diversity Matrix (As of April  </w:t>
            </w:r>
          </w:p>
        </w:tc>
        <w:tc>
          <w:tcPr>
            <w:tcW w:w="66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2024)</w:t>
            </w:r>
          </w:p>
        </w:tc>
        <w:tc>
          <w:tcPr>
            <w:tcW w:w="10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Borders>
              <w:left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Number of Directors</w:t>
            </w:r>
          </w:p>
        </w:tc>
        <w:tc>
          <w:tcPr>
            <w:tcW w:w="6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844"/>
              <w:spacing w:after="0" w:line="142" w:lineRule="exact"/>
              <w:rPr>
                <w:sz w:val="20"/>
                <w:szCs w:val="20"/>
                <w:color w:val="auto"/>
              </w:rPr>
            </w:pPr>
            <w:r>
              <w:rPr>
                <w:rFonts w:ascii="Times New Roman" w:cs="Times New Roman" w:eastAsia="Times New Roman" w:hAnsi="Times New Roman"/>
                <w:sz w:val="14"/>
                <w:szCs w:val="14"/>
                <w:b w:val="1"/>
                <w:bCs w:val="1"/>
                <w:color w:val="auto"/>
                <w:w w:val="85"/>
              </w:rPr>
              <w:t>9</w:t>
            </w:r>
          </w:p>
        </w:tc>
        <w:tc>
          <w:tcPr>
            <w:tcW w:w="10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38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w:t>
            </w:r>
          </w:p>
        </w:tc>
        <w:tc>
          <w:tcPr>
            <w:tcW w:w="1080" w:type="dxa"/>
            <w:vAlign w:val="bottom"/>
            <w:tcBorders>
              <w:right w:val="single" w:sz="8" w:color="auto"/>
            </w:tcBorders>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Did Not</w:t>
            </w:r>
          </w:p>
        </w:tc>
        <w:tc>
          <w:tcPr>
            <w:tcW w:w="0" w:type="dxa"/>
            <w:vAlign w:val="bottom"/>
          </w:tcPr>
          <w:p>
            <w:pPr>
              <w:spacing w:after="0"/>
              <w:rPr>
                <w:sz w:val="1"/>
                <w:szCs w:val="1"/>
                <w:color w:val="auto"/>
              </w:rPr>
            </w:pPr>
          </w:p>
        </w:tc>
      </w:tr>
      <w:tr>
        <w:trPr>
          <w:trHeight w:val="149"/>
        </w:trPr>
        <w:tc>
          <w:tcPr>
            <w:tcW w:w="6380" w:type="dxa"/>
            <w:vAlign w:val="bottom"/>
            <w:tcBorders>
              <w:lef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90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Male</w:t>
            </w:r>
          </w:p>
        </w:tc>
        <w:tc>
          <w:tcPr>
            <w:tcW w:w="10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Disclose</w:t>
            </w:r>
          </w:p>
        </w:tc>
        <w:tc>
          <w:tcPr>
            <w:tcW w:w="0" w:type="dxa"/>
            <w:vAlign w:val="bottom"/>
          </w:tcPr>
          <w:p>
            <w:pPr>
              <w:spacing w:after="0"/>
              <w:rPr>
                <w:sz w:val="1"/>
                <w:szCs w:val="1"/>
                <w:color w:val="auto"/>
              </w:rPr>
            </w:pPr>
          </w:p>
        </w:tc>
      </w:tr>
      <w:tr>
        <w:trPr>
          <w:trHeight w:val="173"/>
        </w:trPr>
        <w:tc>
          <w:tcPr>
            <w:tcW w:w="6380" w:type="dxa"/>
            <w:vAlign w:val="bottom"/>
            <w:tcBorders>
              <w:left w:val="single" w:sz="8" w:color="auto"/>
              <w:bottom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vMerge w:val="continue"/>
          </w:tcPr>
          <w:p>
            <w:pPr>
              <w:spacing w:after="0"/>
              <w:rPr>
                <w:sz w:val="15"/>
                <w:szCs w:val="15"/>
                <w:color w:val="auto"/>
              </w:rPr>
            </w:pPr>
          </w:p>
        </w:tc>
        <w:tc>
          <w:tcPr>
            <w:tcW w:w="900" w:type="dxa"/>
            <w:vAlign w:val="bottom"/>
            <w:tcBorders>
              <w:bottom w:val="single" w:sz="8" w:color="auto"/>
              <w:right w:val="single" w:sz="8" w:color="auto"/>
            </w:tcBorders>
            <w:vMerge w:val="continue"/>
          </w:tcPr>
          <w:p>
            <w:pPr>
              <w:spacing w:after="0"/>
              <w:rPr>
                <w:sz w:val="15"/>
                <w:szCs w:val="15"/>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Binary</w:t>
            </w:r>
          </w:p>
        </w:tc>
        <w:tc>
          <w:tcPr>
            <w:tcW w:w="10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Borders>
              <w:bottom w:val="single" w:sz="8" w:color="auto"/>
              <w:right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7</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Directors</w:t>
            </w:r>
          </w:p>
        </w:tc>
        <w:tc>
          <w:tcPr>
            <w:tcW w:w="6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6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Asian</w:t>
            </w:r>
          </w:p>
        </w:tc>
        <w:tc>
          <w:tcPr>
            <w:tcW w:w="6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Hispanic or Latinx</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6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White</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2</w:t>
            </w:r>
          </w:p>
        </w:tc>
        <w:tc>
          <w:tcPr>
            <w:tcW w:w="900" w:type="dxa"/>
            <w:vAlign w:val="bottom"/>
            <w:tcBorders>
              <w:bottom w:val="single" w:sz="8" w:color="auto"/>
              <w:right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Borders>
              <w:bottom w:val="single" w:sz="8" w:color="auto"/>
              <w:right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6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LGBTQ+</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CCEEFF"/>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spacing w:after="0"/>
              <w:rPr>
                <w:sz w:val="18"/>
                <w:szCs w:val="18"/>
                <w:color w:val="auto"/>
              </w:rPr>
            </w:pPr>
          </w:p>
        </w:tc>
        <w:tc>
          <w:tcPr>
            <w:tcW w:w="10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6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63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Life360 Board Skills Matrix - 2023</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Experience</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Management, Leadership &amp; Strategy</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Experience and an ability to evaluate the performance of the CEO and senior executive managers and oversee strategic organisational and human resources initiatives.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Risk Management</w:t>
      </w:r>
    </w:p>
    <w:p>
      <w:pPr>
        <w:spacing w:after="0" w:line="121" w:lineRule="exact"/>
        <w:rPr>
          <w:sz w:val="20"/>
          <w:szCs w:val="20"/>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Ability to Identify, assess and monitor key risks In the company in a wide range of areas.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Experience</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Experience on the Board or as a senior executive for an ASX Listed company, resulting in familiarity with the ASX rules, including the requirement for continuous disclosure.</w:t>
      </w: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Listed Company Experience</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Experience on the Board or as a senior executive for a Listed company other than on the ASX, resulting in familiarity with the Listing rules, including the requirement for continuous disclosure.</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Finance / Accounting</w:t>
      </w:r>
    </w:p>
    <w:p>
      <w:pPr>
        <w:spacing w:after="0" w:line="121" w:lineRule="exact"/>
        <w:rPr>
          <w:sz w:val="20"/>
          <w:szCs w:val="20"/>
          <w:color w:val="auto"/>
        </w:rPr>
      </w:pPr>
    </w:p>
    <w:p>
      <w:pPr>
        <w:ind w:left="120" w:right="220"/>
        <w:spacing w:after="0" w:line="281" w:lineRule="auto"/>
        <w:rPr>
          <w:sz w:val="20"/>
          <w:szCs w:val="20"/>
          <w:color w:val="auto"/>
        </w:rPr>
      </w:pPr>
      <w:r>
        <w:rPr>
          <w:rFonts w:ascii="Times New Roman" w:cs="Times New Roman" w:eastAsia="Times New Roman" w:hAnsi="Times New Roman"/>
          <w:sz w:val="17"/>
          <w:szCs w:val="17"/>
          <w:color w:val="auto"/>
        </w:rPr>
        <w:t>Qualification / experience in accounting and / or finance and the ability to analyse and critically assess financial statements, viability and performance; contribute to strategic financial planning and oversee budgets and funding arrangements.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w:t>
      </w:r>
    </w:p>
    <w:p>
      <w:pPr>
        <w:spacing w:after="0" w:line="121"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Qualification / experience in law and the ability to contribute to the assessment of the legal risk profile of the company.</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Knowledge and experience in the strategic use of marketing and its inter-relationship with sales and product.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 Product</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Knowledge and experience in the strategic use of information technology and design of product, particularly in relation to online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Number of Directors with the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-934720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16510</wp:posOffset>
            </wp:positionV>
            <wp:extent cx="40544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290830</wp:posOffset>
            </wp:positionV>
            <wp:extent cx="3077210" cy="48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7210"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1045210</wp:posOffset>
            </wp:positionV>
            <wp:extent cx="3077210" cy="316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77210" cy="31686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1636395</wp:posOffset>
            </wp:positionV>
            <wp:extent cx="3077210" cy="600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77210"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2510790</wp:posOffset>
            </wp:positionV>
            <wp:extent cx="3077210" cy="600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77210"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3385185</wp:posOffset>
            </wp:positionV>
            <wp:extent cx="3077210" cy="720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77210" cy="7200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4379595</wp:posOffset>
            </wp:positionV>
            <wp:extent cx="3077210" cy="360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77210" cy="360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5013960</wp:posOffset>
            </wp:positionV>
            <wp:extent cx="3077210" cy="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77210" cy="360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5648325</wp:posOffset>
            </wp:positionV>
            <wp:extent cx="3077210" cy="480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77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2">
            <w:col w:w="4820" w:space="720"/>
            <w:col w:w="4599"/>
          </w:cols>
          <w:pgMar w:left="320" w:top="482"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Experience</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Development / M &amp; A</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Knowledge and experience in identifying and assessing business development opportunities, in particular experience in negotiating, assessing commercial terms and completing mergers / acquisitions or disposals.</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 Technology</w:t>
      </w:r>
    </w:p>
    <w:p>
      <w:pPr>
        <w:spacing w:after="0" w:line="121" w:lineRule="exact"/>
        <w:rPr>
          <w:sz w:val="20"/>
          <w:szCs w:val="20"/>
          <w:color w:val="auto"/>
        </w:rPr>
      </w:pPr>
    </w:p>
    <w:p>
      <w:pPr>
        <w:ind w:left="120" w:right="560"/>
        <w:spacing w:after="0" w:line="261" w:lineRule="auto"/>
        <w:rPr>
          <w:sz w:val="20"/>
          <w:szCs w:val="20"/>
          <w:color w:val="auto"/>
        </w:rPr>
      </w:pPr>
      <w:r>
        <w:rPr>
          <w:rFonts w:ascii="Times New Roman" w:cs="Times New Roman" w:eastAsia="Times New Roman" w:hAnsi="Times New Roman"/>
          <w:sz w:val="18"/>
          <w:szCs w:val="18"/>
          <w:color w:val="auto"/>
        </w:rPr>
        <w:t>Knowledge, experience and networks in the technology industry, either through direct involvement or through the provision of services to the businesses in early stage of development.</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Industry : Online</w:t>
      </w:r>
    </w:p>
    <w:p>
      <w:pPr>
        <w:spacing w:after="0" w:line="121"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Knowledge, experience and networks in the online industry, with a keen understanding of current trends and the ability to think forward to upcoming developments including disruption.</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Hardware</w:t>
      </w:r>
    </w:p>
    <w:p>
      <w:pPr>
        <w:spacing w:after="0" w:line="121" w:lineRule="exact"/>
        <w:rPr>
          <w:sz w:val="20"/>
          <w:szCs w:val="20"/>
          <w:color w:val="auto"/>
        </w:rPr>
      </w:pPr>
    </w:p>
    <w:p>
      <w:pPr>
        <w:ind w:left="120" w:right="320"/>
        <w:spacing w:after="0" w:line="261" w:lineRule="auto"/>
        <w:rPr>
          <w:sz w:val="20"/>
          <w:szCs w:val="20"/>
          <w:color w:val="auto"/>
        </w:rPr>
      </w:pPr>
      <w:r>
        <w:rPr>
          <w:rFonts w:ascii="Times New Roman" w:cs="Times New Roman" w:eastAsia="Times New Roman" w:hAnsi="Times New Roman"/>
          <w:sz w:val="18"/>
          <w:szCs w:val="18"/>
          <w:color w:val="auto"/>
        </w:rPr>
        <w:t>Knowledge, experience and networks in the hardware industry, with a keen understanding of current trends and the ability to think forward to upcoming developments including disruption.</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Knowledge and experience in markets outside of the U.S., with a preference for experience in the geographical areas in which the company has active users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People &amp; Culture</w:t>
      </w:r>
    </w:p>
    <w:p>
      <w:pPr>
        <w:spacing w:after="0" w:line="121"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Experience in managing people, including the ability to evaluate the CED and senior executive performance, oversee strategic human resource management, workplace culture and the promotion of diversity and inclusion.</w:t>
      </w:r>
    </w:p>
    <w:p>
      <w:pPr>
        <w:spacing w:after="0" w:line="1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Experience in developing, setting and assessing remuneration arrangements for the CEO and senior executives resulting in a high performance culture.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Number of Directors with the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-643255</wp:posOffset>
            </wp:positionV>
            <wp:extent cx="7174865" cy="558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16510</wp:posOffset>
            </wp:positionV>
            <wp:extent cx="4054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290830</wp:posOffset>
            </wp:positionV>
            <wp:extent cx="3068955" cy="6000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1165225</wp:posOffset>
            </wp:positionV>
            <wp:extent cx="3068955" cy="6000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2039620</wp:posOffset>
            </wp:positionV>
            <wp:extent cx="3068955" cy="6000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2914015</wp:posOffset>
            </wp:positionV>
            <wp:extent cx="3068955" cy="6000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3788410</wp:posOffset>
            </wp:positionV>
            <wp:extent cx="3068955" cy="4800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4542790</wp:posOffset>
            </wp:positionV>
            <wp:extent cx="3068955" cy="6000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5417185</wp:posOffset>
            </wp:positionV>
            <wp:extent cx="3068955" cy="4800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6034405</wp:posOffset>
            </wp:positionV>
            <wp:extent cx="2245995"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459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2">
            <w:col w:w="4820" w:space="720"/>
            <w:col w:w="4599"/>
          </w:cols>
          <w:pgMar w:left="320" w:top="482"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NDEPENDENCE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have assessed the independence of our directors with respect to the definitions of independence prescribed by each of the NYSE, the Nasdaq Stock Market (“Nasdaq”) and the SEC, as well as the ASX Corporate Governance Principles and Recommendations (“ASX Corporate Governance Recommendations”) and our Board Charter (which incorporates the ASX definition of independence). Our Board Charter is available to stockholders on the Company’s website at investors.life360.com.</w:t>
      </w:r>
    </w:p>
    <w:p>
      <w:pPr>
        <w:spacing w:after="0" w:line="180"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stock exchange listing standards and for the purposes of our Board Charter: Messrs.</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Coghlan, Synge, Goines and Wiadrowski and Mses. Morin and Zuckerberg. In making this determination, the Board found that none of these directors or nominees for director had a material or other disqualifying relationship with the Company. The Board determined that Mr. Hulls is not independent because he is a co-founder of the Company and serves as its Chief Executive Officer. The Board determined that Mr. Haro is not independent because he is a co-founder of the Company. The Board determined that Mr. Prober is not independent because he served as the President of the Company until July 2023.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OARD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EADERSHIP</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TRUCTURE</w:t>
      </w:r>
    </w:p>
    <w:p>
      <w:pPr>
        <w:spacing w:after="0" w:line="121"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Board of the Company has an independent chair (the “Board Chair”), Mr. Coghlan, who has authority, among other things, to call and preside over meetings of the Board, including meetings of the independent directors,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OLE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VERSIGHT</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One of the Board’s key functions is informed oversight of the Company’s risk management process. The Audit and Risk Management Committee oversees the Company’s corporate accounting and financial reporting, including auditing of the Company’s financial statements and the qualification, independence, performance and terms of engagement of the Company’s external auditor. This committee is also responsible for monitoring and advising the Board on risk management policies and procedures. The Audit and Risk Management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and Risk Management Committee also monitors compliance with legal and regulatory requirements, in addition to oversight of the performance of our internal audit function. The Board oversees cybersecurity risk management functions as a whole, as well as through the Audit and Risk Committee. A key component of our risk management framework is the regular review of key risks and opportunities by our leadership team. An assessment of areas of potential risks to the business, estimated likelihoods and mitigation strategies is performed. Identified risks are included in a risk register, the key risk categories of which include cybersecurity, brand, business continuity, talent and financial risks.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Remuneration and Nomination Committee assesses and monitors whether any of our compensation policies and programs have the potential to encourage excessive risk-taking. It is the responsibility of the committee chairs to report findings regarding material risk exposures to the Board as quickly as possible. The Board has delegated to the Audit and Risk Management Committee the responsibility of coordinating between the Board and management the determination and implementation of responses to any problematic risk management issues.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EETINGS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The Board met eleven times during the last fiscal year. Each Board member attended 75% or more of the aggregate number of meetings of the Board and of the committees on which they served, held during the portion of the last fiscal year for which they were a director or committee member.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NFORMATION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EGARDING</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OMMITTEES OF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Board has two standing committees: an Audit and Risk Management Committee and a Remuneration and Nomination Committee. The following table provides membership and meeting information for fiscal 2023 for each of the Board committees: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Remuneration</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820" w:type="dxa"/>
            <w:vAlign w:val="bottom"/>
            <w:vMerge w:val="restart"/>
          </w:tcPr>
          <w:p>
            <w:pPr>
              <w:spacing w:after="0"/>
              <w:rPr>
                <w:sz w:val="12"/>
                <w:szCs w:val="12"/>
                <w:color w:val="auto"/>
              </w:rPr>
            </w:pPr>
          </w:p>
        </w:tc>
        <w:tc>
          <w:tcPr>
            <w:tcW w:w="2160" w:type="dxa"/>
            <w:vAlign w:val="bottom"/>
            <w:gridSpan w:val="2"/>
            <w:vMerge w:val="restart"/>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Audit and Risk</w:t>
            </w:r>
          </w:p>
        </w:tc>
        <w:tc>
          <w:tcPr>
            <w:tcW w:w="1020" w:type="dxa"/>
            <w:vAlign w:val="bottom"/>
            <w:gridSpan w:val="2"/>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020" w:type="dxa"/>
            <w:vAlign w:val="bottom"/>
            <w:gridSpan w:val="2"/>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Philip Coghlan</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X</w:t>
            </w:r>
          </w:p>
        </w:tc>
        <w:tc>
          <w:tcPr>
            <w:tcW w:w="1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X</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Goines</w:t>
            </w: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Brittany Morin</w:t>
            </w:r>
          </w:p>
        </w:tc>
        <w:tc>
          <w:tcPr>
            <w:tcW w:w="9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Synge</w:t>
            </w: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2160" w:type="dxa"/>
            <w:vAlign w:val="bottom"/>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2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X**</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1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Total meetings in fiscal 2023</w:t>
            </w:r>
          </w:p>
        </w:tc>
        <w:tc>
          <w:tcPr>
            <w:tcW w:w="9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w:t>
            </w:r>
          </w:p>
        </w:tc>
        <w:tc>
          <w:tcPr>
            <w:tcW w:w="1220" w:type="dxa"/>
            <w:vAlign w:val="bottom"/>
          </w:tcPr>
          <w:p>
            <w:pPr>
              <w:spacing w:after="0"/>
              <w:rPr>
                <w:sz w:val="17"/>
                <w:szCs w:val="17"/>
                <w:color w:val="auto"/>
              </w:rPr>
            </w:pPr>
          </w:p>
        </w:tc>
        <w:tc>
          <w:tcPr>
            <w:tcW w:w="9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Committee Chairperson</w:t>
            </w: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0" w:right="3900" w:hanging="4"/>
        <w:spacing w:after="0" w:line="490" w:lineRule="auto"/>
        <w:tabs>
          <w:tab w:leader="none" w:pos="5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Zuckerberg resigned from the Audit and Risk Management Committee in January 2024. Below is a description of each committee of the Board.</w:t>
      </w: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stock exchange rules and regulations regarding “independence” and each member is free of any relationship that would impair his or her individual exercise of independent judgment with regard to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and Risk Management Committee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Audit and Risk Management Committee of the Board was established by the Board to oversee the Company’s corporate accounting and financial reporting processes and audits of its financial statements. For this purpose, the Audit and Risk Management Committee performs several functions. The Audit and Risk Management Committee evaluates the performance and assesses the qualifications of the independent auditors; reviews and recommends the engagement of the independent auditors; recommends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 confers with management and the independent auditors regarding the effectiveness of internal control over financial reporting; reviews and assesses procedures, as required under applicable law, for the receipt, retention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and treatment of complaints received by the Company regarding accounting, internal accounting controls or auditing matters and the confidential and anonymous submission by employees of concerns regarding questionable accounting or auditing matters; oversees the Company’s information technology risk exposures, including cybersecurity, data privacy and data security;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83"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Audit and Risk Management Committee is composed of three directors: Mr. Coghlan, Mr. Synge, and Mr. Wiadrowski. The Audit and Risk Management Committee met ten times during the fiscal year. The Board has adopted a written Audit and Risk Management Committee charter that is available to stockholders on the Company’s website at investors.life360.com.</w:t>
      </w:r>
    </w:p>
    <w:p>
      <w:pPr>
        <w:spacing w:after="0" w:line="176"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The Board reviews the NYSE, Nasdaq and ASX definitions of independence for Audit and Risk Management Committee members on an annual basis and has determined that all members of the Company’s Audit and Risk Management Committee are independent (as independence is currently defined in Section 303A.07(a) of the NYSE Listed Company Manual, Nasdaq Stock Market Rule 5605(c)(2) and Recommendation 2.3 of the ASX Corporate Governance Recommendations).</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Board has also determined that Mr. Wiadrowski qualifies as an “audit committee financial expert,” as defined in applicable SEC rules. The Board made a qualitative assessment of Mr. Wiadrowski’s level of knowledge and experience based on a number of factors, including his formal education and experience as an audit partner for public reporting companies.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and Risk Management Committee of the Board of Directors</w:t>
      </w:r>
      <w:r>
        <w:rPr>
          <w:rFonts w:ascii="Times New Roman" w:cs="Times New Roman" w:eastAsia="Times New Roman" w:hAnsi="Times New Roman"/>
          <w:sz w:val="26"/>
          <w:szCs w:val="26"/>
          <w:b w:val="1"/>
          <w:bCs w:val="1"/>
          <w:color w:val="auto"/>
          <w:vertAlign w:val="superscript"/>
        </w:rPr>
        <w:t>*</w:t>
      </w:r>
    </w:p>
    <w:p>
      <w:pPr>
        <w:spacing w:after="0" w:line="49"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The Audit and Risk Management Committee has reviewed and discussed the audited financial statements for the fiscal year ended December 31, 2023 with management of the Company. The Audit and Risk Management Committee has discussed with the independent registered public accounting firm the matters required to be discussed by the applicable requirements of the Public Company Accounting Oversight Board (“PCAOB”) and the SEC. The Audit and Risk Management Committee has also received the written disclosures and the letter from the independent registered public accounting firm required by applicable requirements of the PCAOB regarding the independent accountants’ communications with the Audit and Risk Management Committee concerning independence, and has discussed with the independent registered public accounting firm the accounting firm’s independence. Based on the foregoing, the Audit and Risk Management Committee has recommended to the Board that the audited financial statements be included in the Company’s Annual Report on Form 10-K for the fiscal year ended December 31, 2023.</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David Wiadrowski</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John Philip Coghlan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James Synge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and Nomination Committee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Remuneration and Nomination Committee is composed of three directors: Mr. Coghlan, Ms. Morin and Mr. Goines. All members of the Company’s Remuneration and Nomination Committee are independent (as independence is currently defined in Section 303A.02 of the NYSE Listed Company Manual, Nasdaq Stock Market Rules 5605(c)(2) and 5605(d)(2) and Recommendation 2.3 of the ASX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2" w:lineRule="exact"/>
        <w:rPr>
          <w:sz w:val="20"/>
          <w:szCs w:val="20"/>
          <w:color w:val="auto"/>
        </w:rPr>
      </w:pPr>
    </w:p>
    <w:p>
      <w:pPr>
        <w:ind w:left="540" w:right="140" w:hanging="424"/>
        <w:spacing w:after="0" w:line="220" w:lineRule="auto"/>
        <w:tabs>
          <w:tab w:leader="none" w:pos="540" w:val="left"/>
        </w:tabs>
        <w:numPr>
          <w:ilvl w:val="0"/>
          <w:numId w:val="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 any filing of the Company under the Securities Act or the Exchange Act, whether made before or after the date hereof and irrespective of any general incorporation language in any such filing.</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82"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Recommendations). The Remuneration and Nomination Committee met six times during the fiscal year. The Board has adopted a written Remuneration and Nomination Committee charter that is available to stockholders on the Company’s website at investors.life360.com.</w:t>
      </w:r>
    </w:p>
    <w:p>
      <w:pPr>
        <w:spacing w:after="0" w:line="162" w:lineRule="exact"/>
        <w:rPr>
          <w:sz w:val="20"/>
          <w:szCs w:val="20"/>
          <w:color w:val="auto"/>
        </w:rPr>
      </w:pPr>
    </w:p>
    <w:p>
      <w:pPr>
        <w:ind w:left="120" w:right="1020"/>
        <w:spacing w:after="0" w:line="282" w:lineRule="auto"/>
        <w:rPr>
          <w:sz w:val="20"/>
          <w:szCs w:val="20"/>
          <w:color w:val="auto"/>
        </w:rPr>
      </w:pPr>
      <w:r>
        <w:rPr>
          <w:rFonts w:ascii="Times New Roman" w:cs="Times New Roman" w:eastAsia="Times New Roman" w:hAnsi="Times New Roman"/>
          <w:sz w:val="18"/>
          <w:szCs w:val="18"/>
          <w:color w:val="auto"/>
        </w:rPr>
        <w:t>The Remuneration and Nomination Committee acts on behalf of the Board to review, recommend for adoption and oversee the Company’s compensation strategy, policies, plans and programs, including:</w:t>
      </w:r>
    </w:p>
    <w:p>
      <w:pPr>
        <w:spacing w:after="0" w:line="67" w:lineRule="exact"/>
        <w:rPr>
          <w:sz w:val="20"/>
          <w:szCs w:val="20"/>
          <w:color w:val="auto"/>
        </w:rPr>
      </w:pPr>
    </w:p>
    <w:p>
      <w:pPr>
        <w:ind w:left="1080" w:right="5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policies and practices relevant to the compensation of the Company’s executive officers, directors, and other senior management and evaluation of performance in light of performance objectives established by the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human capital management, including the Company’s culture and diversity and inclusion programs and initiatives;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recommendation to the Board for approval of the compensation and other terms of employment or service, including severance and change-in-control arrangements, of the Company’s Chief Executive Officer and the other executive officers and directors;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terms of the Company’s equity compensation plans, pension and profit-sharing plans, deferred compensation plans and other similar plan and programs.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Remuneration and Nomination Committee Processes and Procedures</w:t>
      </w:r>
    </w:p>
    <w:p>
      <w:pPr>
        <w:spacing w:after="0" w:line="11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Typically, the Remuneration and Nomination Committee meets at least two times annually and with greater frequency if necessary. The agenda for each meeting is usually developed by the Chair of the Remuneration and Nomination Committee, in consultation with the Chief People Officer and Compensia, Inc. (“Compensia”). The Remuneration and Nomination Committee meets regularly in executive session. However, from time to time, various members of management and other employees as well as outside advisors or consultants may be invited by the Remuneration and Nomination Committee to make presentations, to provide financial or other background information or advice or to otherwise participate in Remuneration and Nomination Committee meetings. The Chief Executive Officer may not participate in, or be present during, any deliberations or determinations of the Remuneration and Nomination Committee regarding his compensation or individual performance objectives. The charter of the Remuneration and Nomination Committee grants the Remuneration and Nomination Committee the authority to obtain, at the expense of the Company, advice and assistance from compensation consultants and internal and external legal, accounting or other advisors and other external resources that the Remuneration and Nomination Committee considers necessary or appropriate in the performance of its duties. The Remuneration and Nomination Committee has direct responsibility for the oversight of the work of any consultants or advisers engaged for the purpose of advising the Remuneration and Nomination Committee. In particular, the Remuneration and Nomination Committee has the sole authority to retain, in its sole discretion, compensation consultants to assist in its evaluation of executive and director compensation, including the authority to approve the consultant’s reasonable fees and other retention terms. Under the charter, the Remuneration and Nomination Committee may select, or receive advice from, a compensation consultant, legal counsel or other adviser to the Remuneration and Nomination Committee, other than in-house legal counsel and certain other types of advisers, only after taking into consideration six factors, prescribed by the SEC, that bear upon the adviser’s independence; however, there is no requirement that any adviser be independent. For addition information, see “</w:t>
      </w:r>
      <w:r>
        <w:rPr>
          <w:rFonts w:ascii="Times New Roman" w:cs="Times New Roman" w:eastAsia="Times New Roman" w:hAnsi="Times New Roman"/>
          <w:sz w:val="18"/>
          <w:szCs w:val="18"/>
          <w:i w:val="1"/>
          <w:iCs w:val="1"/>
          <w:color w:val="auto"/>
        </w:rPr>
        <w:t>Compensation Discuss and Analysis—How We 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Compensation—Role of Remuneration and Nomination Committee</w:t>
      </w:r>
      <w:r>
        <w:rPr>
          <w:rFonts w:ascii="Times New Roman" w:cs="Times New Roman" w:eastAsia="Times New Roman" w:hAnsi="Times New Roman"/>
          <w:sz w:val="18"/>
          <w:szCs w:val="18"/>
          <w:color w:val="auto"/>
        </w:rPr>
        <w:t>” in this Proxy Statement.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of Directors Nominations</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Remuneration and Nomination Committee is also responsible for identifying, reviewing and evaluating candidates to serve as directors of the Company (consistent with criteria approved by the Board), reviewing and evaluating incumbent directors, recommending candidates to the Board for election to the Board, making recommendations to the Board regarding the membership of the committees of the Board, and assessing the performance of the Board.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Remuneration and Nomination Committee believes that candidates for director should have certain minimum qualifications, including the ability to read and understand basic financial statements and having high personal integrity and ethics. The Remuneration and Nomination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Remuneration and Nomination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Remuneration and Nomination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188"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The Remuneration and Nomination Committee appreciates the value of thoughtful Board refreshment, and regularly identifies and considers qualities, skills and other director attributes that would enhance the composition of the Board. In the case of incumbent directors whose terms of office are set to expire, the Remuneration and Nomination Committee reviews these directors’ overall service to the Company during their terms, including the number of meetings attended, level of participation, quality of performance and any other relationships and transactions that might impair the directors’ independence. The Remuneration and Nomination Committee also takes into account the results of the Board’s self-evaluation, conducted at least annually with the advice and assistance of the Remuneration and Nomination Committee, to review and evaluate the performance of the Board, each board committee, and each individual director against the relevant charters, corporate governance policies, and agreed goals and objectives. In the case of new director candidates, the Remuneration and Nomination Committee also determines whether the nominee is independent, which determination is based upon applicable stock exchange listing standards, applicable SEC rules and regulations and the advice of counsel, if necessary. The Remuneration and Nomination Committee then uses its network of contacts to compile a list of potential candidates, but may also engage, if it deems appropriate, a professional search firm. The Remuneration and Nomination Committee conducts any appropriate and necessary inquiries into the backgrounds and qualifications of possible candidates after considering the function and needs of the Board. The Remuneration and Nomination Committee meets to discuss and consider the candidates’ qualifications and then selects a nominee for recommendation to the Board by majority vote.</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At this time, the Remuneration and Nomination Committee does not have a policy with regard to the consideration of director candidates recommended by stockholders. The Remuneration and Nomination Committee believes that it is in the best position to identify, review, evaluate and select qualified candidates for Board membership, based on the comprehensive criteria for Board membership approved by the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and Nomination Committee Interlocks and Insider Participation</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As noted above, the Remuneration and Nomination Committee consists of Mr. Coghlan, Ms. Morin and Mr. Goines. None of the members of the Remuneration and Nomination Committee was at any time during 2023 or at any other time one of our officers or employees, and none had or have any relationships with us that are required to be disclosed under Item 404 of Regulation S-K. During 2023, none of our executive officers served as a member of the board of directors, or as a member of the compensation or similar committee, of any entity that has one or more executive officers who served on our Board or Remuneration and Nomination Committee.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Remuneration and Nomination Committee Report</w:t>
      </w:r>
      <w:r>
        <w:rPr>
          <w:rFonts w:ascii="Times New Roman" w:cs="Times New Roman" w:eastAsia="Times New Roman" w:hAnsi="Times New Roman"/>
          <w:sz w:val="26"/>
          <w:szCs w:val="26"/>
          <w:b w:val="1"/>
          <w:bCs w:val="1"/>
          <w:color w:val="auto"/>
          <w:vertAlign w:val="superscript"/>
        </w:rPr>
        <w:t>1</w:t>
      </w:r>
    </w:p>
    <w:p>
      <w:pPr>
        <w:spacing w:after="0" w:line="4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Remuneration and Nomination Committee has reviewed and discussed with management the Compensation Discussion and Analysis (“CD&amp;A”) contained in this proxy statement. Based on this review and discussion, the Remuneration and Nomination Committee has recommended to the Board of Directors that the CD&amp;A be included in this proxy statement and incorporated into the Company’s Annual Report on Form 10-K for the fiscal year ended December 31, 2023.</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 Goines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John Philip Coghlan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Brittany Morin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OMMUNICATIONS WITH THE BOARD OF DIRECTORS</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Stockholders are encouraged to submit questions or requests for information directly to the Company via the Company’s website at www.life360.com in accordance with the Company’s Shareholder Communication Policy. Every effort is made to ensure that the views of stockholders are heard by the Board or individual directors, as applicable, and that appropriate responses are provided to stockholders in a timely manner.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ODE OF CONDUCT</w:t>
      </w:r>
    </w:p>
    <w:p>
      <w:pPr>
        <w:spacing w:after="0" w:line="121" w:lineRule="exact"/>
        <w:rPr>
          <w:sz w:val="20"/>
          <w:szCs w:val="20"/>
          <w:color w:val="auto"/>
        </w:rPr>
      </w:pPr>
    </w:p>
    <w:p>
      <w:pPr>
        <w:jc w:val="both"/>
        <w:ind w:left="120" w:right="100"/>
        <w:spacing w:after="0" w:line="261" w:lineRule="auto"/>
        <w:rPr>
          <w:sz w:val="20"/>
          <w:szCs w:val="20"/>
          <w:color w:val="auto"/>
        </w:rPr>
      </w:pPr>
      <w:r>
        <w:rPr>
          <w:rFonts w:ascii="Times New Roman" w:cs="Times New Roman" w:eastAsia="Times New Roman" w:hAnsi="Times New Roman"/>
          <w:sz w:val="18"/>
          <w:szCs w:val="18"/>
          <w:color w:val="auto"/>
        </w:rPr>
        <w:t>The Company has adopted a Code of Conduct that applies to all officers, directors, employees, contractors, consultants, and authorized representatives. The Code of Conduct is available on the Company’s website at investors.life360.com. If the Company makes any substantive amendments to the Code of Conduct or grants any waiver from a provision of the Code of Conduct to any executive officer or director, the Company will promptly disclose the nature of the amendment or waiver on its website.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OVERNANCE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TATEMENT</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Board has documented the governance practices followed by the Company in the Corporate Governance Statement in accordance with the fourth edition of the ASX Corporate Governance Recommendations to assure that the Board has the necessary authority and practices in place to review and evaluate the Company’s business operations as needed and to make decisions that are independent of the Company’s management. The statement is also intended to align the interests of directors and management with those of the Company’s stockholders. The Corporate Governance Statement sets forth the practices the Board intends to follow with respect to board composition and selection including diversity objectives, board meetings and involvement of senior management, Chief Executive Officer performance evaluation and succession planning, corporate social responsibility and board committees and compensation. In furtherance of the objectives set forth in the Corporate Governance Statement, the Company maintains a Diversity Policy. The Corporate Governance Statement, the Diversity Policy, and the charters for each committee of the Board, may be viewed at investors.life360.com.</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4"/>
          <w:szCs w:val="14"/>
          <w:b w:val="1"/>
          <w:bCs w:val="1"/>
          <w:color w:val="auto"/>
        </w:rPr>
        <w:t>EDGING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part of the Company’s Insider Trading Policy, all employees (including our executive officers), contractors, consultants, and Board members are prohibited from engaging in short sales of our securities, buying or selling puts or calls on our securities or otherwise engaging in hedging transactions involving our securities. The Company’s Insider Trading Policy also prohibits pledging the Company’s securities as collateral in a margin account or as collateral for a loan unless the pledge has been approved by the Company’s General Counsel in accordance with any applicable policy or guidelines of the Company regarding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0" w:lineRule="exact"/>
        <w:rPr>
          <w:sz w:val="20"/>
          <w:szCs w:val="20"/>
          <w:color w:val="auto"/>
        </w:rPr>
      </w:pPr>
    </w:p>
    <w:p>
      <w:pPr>
        <w:ind w:left="540" w:hanging="424"/>
        <w:spacing w:after="0" w:line="227" w:lineRule="auto"/>
        <w:tabs>
          <w:tab w:leader="none" w:pos="540" w:val="left"/>
        </w:tabs>
        <w:numPr>
          <w:ilvl w:val="0"/>
          <w:numId w:val="2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material in this report is not “soliciting material,” is furnished to, but not deemed “filed” with, the Commission and is not deemed to be incorporated by reference in any filing of the Company under the Securities Act or the Exchange Act, other than the Company’s Annual Report on Form 10-K, where it shall be deemed to be “furnished,” whether made before or after the date hereof and irrespective of any general incorporation language in any such filing.</w:t>
      </w:r>
    </w:p>
    <w:p>
      <w:pPr>
        <w:spacing w:after="0" w:line="1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APPROVAL OF GRANT OF RSUS AND PRSUS TO</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CHRIS HULLS</w:t>
      </w:r>
    </w:p>
    <w:p>
      <w:pPr>
        <w:spacing w:after="0" w:line="207" w:lineRule="exact"/>
        <w:rPr>
          <w:sz w:val="20"/>
          <w:szCs w:val="20"/>
          <w:color w:val="auto"/>
        </w:rPr>
      </w:pPr>
    </w:p>
    <w:p>
      <w:pPr>
        <w:jc w:val="both"/>
        <w:ind w:left="120" w:right="240"/>
        <w:spacing w:after="0" w:line="282" w:lineRule="auto"/>
        <w:rPr>
          <w:sz w:val="20"/>
          <w:szCs w:val="20"/>
          <w:color w:val="auto"/>
        </w:rPr>
      </w:pPr>
      <w:r>
        <w:rPr>
          <w:rFonts w:ascii="Times New Roman" w:cs="Times New Roman" w:eastAsia="Times New Roman" w:hAnsi="Times New Roman"/>
          <w:sz w:val="18"/>
          <w:szCs w:val="18"/>
          <w:color w:val="auto"/>
        </w:rPr>
        <w:t>Proposal 2 seeks stockholder approval in accordance with ASX Listing Rule 10.14 for the grant of RSUs and PRSUs to Chris Hulls under the Stock Plan, for the year ending December 2024.</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Board considers that this grant of RSUs and PRSUs to Chris Hulls would be a cost effective and efficient reward for the Company to make to appropriately incentivize his continued performance and is consistent with the strategic goals and targets of the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Refer to the section titled “Executive Compensation” in this proxy statement for a summary of the terms and conditions of the Stock Plan.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ASX Listing Rule 10.14</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In accordance with ASX Listing Rule 10.14, the Company must not permit a director and any of his or her associates to acquire securities under an employee incentive scheme unless it obtains stockholder approval. Therefore, the issue of RSUs and/or PRSUs to a director requires the approval of stockholders for the purposes of ASX Listing Rule 10.14.</w:t>
      </w:r>
    </w:p>
    <w:p>
      <w:pPr>
        <w:spacing w:after="0" w:line="176" w:lineRule="exact"/>
        <w:rPr>
          <w:sz w:val="20"/>
          <w:szCs w:val="20"/>
          <w:color w:val="auto"/>
        </w:rPr>
      </w:pPr>
    </w:p>
    <w:p>
      <w:pPr>
        <w:ind w:left="120" w:right="140"/>
        <w:spacing w:after="0" w:line="312" w:lineRule="auto"/>
        <w:rPr>
          <w:sz w:val="20"/>
          <w:szCs w:val="20"/>
          <w:color w:val="auto"/>
        </w:rPr>
      </w:pPr>
      <w:r>
        <w:rPr>
          <w:rFonts w:ascii="Times New Roman" w:cs="Times New Roman" w:eastAsia="Times New Roman" w:hAnsi="Times New Roman"/>
          <w:sz w:val="17"/>
          <w:szCs w:val="17"/>
          <w:color w:val="auto"/>
        </w:rPr>
        <w:t>Details of any securities issued under the Stock Plan will be published in the Company’s Annual Report on Form 10-K for the fiscal year ended 2024 relating to the period in which they were issued, along with a statement that the approval for the issue was obtained under ASX Listing Rule 10.14.</w:t>
      </w:r>
    </w:p>
    <w:p>
      <w:pPr>
        <w:spacing w:after="0" w:line="140" w:lineRule="exact"/>
        <w:rPr>
          <w:sz w:val="20"/>
          <w:szCs w:val="20"/>
          <w:color w:val="auto"/>
        </w:rPr>
      </w:pPr>
    </w:p>
    <w:p>
      <w:pPr>
        <w:jc w:val="both"/>
        <w:ind w:left="120" w:right="100"/>
        <w:spacing w:after="0" w:line="312" w:lineRule="auto"/>
        <w:rPr>
          <w:sz w:val="20"/>
          <w:szCs w:val="20"/>
          <w:color w:val="auto"/>
        </w:rPr>
      </w:pPr>
      <w:r>
        <w:rPr>
          <w:rFonts w:ascii="Times New Roman" w:cs="Times New Roman" w:eastAsia="Times New Roman" w:hAnsi="Times New Roman"/>
          <w:sz w:val="17"/>
          <w:szCs w:val="17"/>
          <w:color w:val="auto"/>
        </w:rPr>
        <w:t>Any additional persons covered by ASX Listing Rule 10.14 who become entitled to participate in an issue of securities under the Stock Plan after this proposal is approved, and who were not named in this Notice, will not participate until stockholder approval is obtained under that ASX Listing Rule.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Information required by ASX Listing Rule 10.15</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purposes of ASX Listing Rule 10.15, the following additional information is provided to stockholders:</w:t>
      </w:r>
    </w:p>
    <w:p>
      <w:pPr>
        <w:sectPr>
          <w:pgSz w:w="11900" w:h="16838" w:orient="portrait"/>
          <w:cols w:equalWidth="0" w:num="1">
            <w:col w:w="11000"/>
          </w:cols>
          <w:pgMar w:left="320" w:top="482" w:right="57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Recipient Grants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RSUs and PRSUs will be granted to Chris Hulls, the Co-Founder and CEO of the Company. Chris Hulls is a director of the Company and consequently falls within the category of person listed in ASX Listing Rule 10.14.1.</w:t>
      </w:r>
    </w:p>
    <w:p>
      <w:pPr>
        <w:spacing w:after="0" w:line="64" w:lineRule="exact"/>
        <w:rPr>
          <w:sz w:val="20"/>
          <w:szCs w:val="20"/>
          <w:color w:val="auto"/>
        </w:rPr>
      </w:pPr>
    </w:p>
    <w:p>
      <w:pPr>
        <w:sectPr>
          <w:pgSz w:w="11900" w:h="16838" w:orient="portrait"/>
          <w:cols w:equalWidth="0" w:num="2">
            <w:col w:w="2480" w:space="720"/>
            <w:col w:w="7800"/>
          </w:cols>
          <w:pgMar w:left="320" w:top="482" w:right="579" w:bottom="1440" w:gutter="0" w:footer="0" w:header="0"/>
          <w:type w:val="continuous"/>
        </w:sect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color w:val="auto"/>
        </w:rPr>
        <w:t>Chris Hulls’ current cash remuneration</w:t>
      </w:r>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A base salary of US$515,000 and a target cash bonus of US$515,000 for the period January 1, 2024 to December 31, 2024.</w:t>
      </w:r>
    </w:p>
    <w:p>
      <w:pPr>
        <w:spacing w:after="0" w:line="49" w:lineRule="exact"/>
        <w:rPr>
          <w:sz w:val="20"/>
          <w:szCs w:val="20"/>
          <w:color w:val="auto"/>
        </w:rPr>
      </w:pPr>
    </w:p>
    <w:p>
      <w:pPr>
        <w:sectPr>
          <w:pgSz w:w="11900" w:h="16838" w:orient="portrait"/>
          <w:cols w:equalWidth="0" w:num="2">
            <w:col w:w="2480" w:space="720"/>
            <w:col w:w="7800"/>
          </w:cols>
          <w:pgMar w:left="320" w:top="482" w:right="579" w:bottom="1440" w:gutter="0" w:footer="0" w:header="0"/>
          <w:type w:val="continuous"/>
        </w:sectPr>
      </w:pPr>
    </w:p>
    <w:p>
      <w:pPr>
        <w:ind w:left="120" w:right="20"/>
        <w:spacing w:after="0" w:line="317" w:lineRule="auto"/>
        <w:rPr>
          <w:sz w:val="20"/>
          <w:szCs w:val="20"/>
          <w:color w:val="auto"/>
        </w:rPr>
      </w:pPr>
      <w:r>
        <w:rPr>
          <w:rFonts w:ascii="Times New Roman" w:cs="Times New Roman" w:eastAsia="Times New Roman" w:hAnsi="Times New Roman"/>
          <w:sz w:val="17"/>
          <w:szCs w:val="17"/>
          <w:b w:val="1"/>
          <w:bCs w:val="1"/>
          <w:color w:val="auto"/>
        </w:rPr>
        <w:t>Number of securities previously granted under the Stock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280" w:hanging="26"/>
        <w:spacing w:after="0" w:line="282" w:lineRule="auto"/>
        <w:rPr>
          <w:sz w:val="20"/>
          <w:szCs w:val="20"/>
          <w:color w:val="auto"/>
        </w:rPr>
      </w:pPr>
      <w:r>
        <w:rPr>
          <w:rFonts w:ascii="Times New Roman" w:cs="Times New Roman" w:eastAsia="Times New Roman" w:hAnsi="Times New Roman"/>
          <w:sz w:val="18"/>
          <w:szCs w:val="18"/>
          <w:color w:val="auto"/>
        </w:rPr>
        <w:t> October 1, 2013: 167,000 options with an exercise price of US$0.58 per share and an expiry date of September 30, 2023.*</w:t>
      </w:r>
    </w:p>
    <w:p>
      <w:pPr>
        <w:spacing w:after="0" w:line="66" w:lineRule="exact"/>
        <w:rPr>
          <w:sz w:val="20"/>
          <w:szCs w:val="20"/>
          <w:color w:val="auto"/>
        </w:rPr>
      </w:pPr>
    </w:p>
    <w:p>
      <w:pPr>
        <w:sectPr>
          <w:pgSz w:w="11900" w:h="16838" w:orient="portrait"/>
          <w:cols w:equalWidth="0" w:num="3">
            <w:col w:w="2580" w:space="720"/>
            <w:col w:w="100" w:space="160"/>
            <w:col w:w="7440"/>
          </w:cols>
          <w:pgMar w:left="320" w:top="482" w:right="57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180" w:hanging="26"/>
        <w:spacing w:after="0" w:line="282" w:lineRule="auto"/>
        <w:rPr>
          <w:sz w:val="20"/>
          <w:szCs w:val="20"/>
          <w:color w:val="auto"/>
        </w:rPr>
      </w:pPr>
      <w:r>
        <w:rPr>
          <w:rFonts w:ascii="Times New Roman" w:cs="Times New Roman" w:eastAsia="Times New Roman" w:hAnsi="Times New Roman"/>
          <w:sz w:val="18"/>
          <w:szCs w:val="18"/>
          <w:color w:val="auto"/>
        </w:rPr>
        <w:t> October 31, 2013: 520,843 options with an exercise price of US$0.58 per share and an expiry date of October 30, 2018.**</w:t>
      </w:r>
    </w:p>
    <w:p>
      <w:pPr>
        <w:spacing w:after="0" w:line="67" w:lineRule="exact"/>
        <w:rPr>
          <w:sz w:val="20"/>
          <w:szCs w:val="20"/>
          <w:color w:val="auto"/>
        </w:rPr>
      </w:pPr>
    </w:p>
    <w:p>
      <w:pPr>
        <w:sectPr>
          <w:pgSz w:w="11900" w:h="16838" w:orient="portrait"/>
          <w:cols w:equalWidth="0" w:num="2">
            <w:col w:w="3400" w:space="160"/>
            <w:col w:w="7440"/>
          </w:cols>
          <w:pgMar w:left="320" w:top="482" w:right="57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260" w:hanging="26"/>
        <w:spacing w:after="0" w:line="282" w:lineRule="auto"/>
        <w:rPr>
          <w:sz w:val="20"/>
          <w:szCs w:val="20"/>
          <w:color w:val="auto"/>
        </w:rPr>
      </w:pPr>
      <w:r>
        <w:rPr>
          <w:rFonts w:ascii="Times New Roman" w:cs="Times New Roman" w:eastAsia="Times New Roman" w:hAnsi="Times New Roman"/>
          <w:sz w:val="18"/>
          <w:szCs w:val="18"/>
          <w:color w:val="auto"/>
        </w:rPr>
        <w:t> August 11, 2014: 707,996 options with an exercise price of US$0.91 per share and an expiry date of August 10, 2024.*</w:t>
      </w:r>
    </w:p>
    <w:p>
      <w:pPr>
        <w:spacing w:after="0" w:line="67" w:lineRule="exact"/>
        <w:rPr>
          <w:sz w:val="20"/>
          <w:szCs w:val="20"/>
          <w:color w:val="auto"/>
        </w:rPr>
      </w:pPr>
    </w:p>
    <w:p>
      <w:pPr>
        <w:sectPr>
          <w:pgSz w:w="11900" w:h="16838" w:orient="portrait"/>
          <w:cols w:equalWidth="0" w:num="2">
            <w:col w:w="3400" w:space="160"/>
            <w:col w:w="7440"/>
          </w:cols>
          <w:pgMar w:left="320" w:top="482" w:right="579" w:bottom="1440" w:gutter="0" w:footer="0" w:header="0"/>
          <w:type w:val="continuous"/>
        </w:sectPr>
      </w:pPr>
    </w:p>
    <w:p>
      <w:pPr>
        <w:ind w:left="3300"/>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ind w:right="440" w:hanging="26"/>
        <w:spacing w:after="0" w:line="282" w:lineRule="auto"/>
        <w:rPr>
          <w:sz w:val="20"/>
          <w:szCs w:val="20"/>
          <w:color w:val="auto"/>
        </w:rPr>
      </w:pPr>
      <w:r>
        <w:rPr>
          <w:rFonts w:ascii="Times New Roman" w:cs="Times New Roman" w:eastAsia="Times New Roman" w:hAnsi="Times New Roman"/>
          <w:sz w:val="18"/>
          <w:szCs w:val="18"/>
          <w:color w:val="auto"/>
        </w:rPr>
        <w:t> August 11, 2014: 9,736 options with an exercise price of US$0.91 per share and an expiry date of August 10, 2024.*</w:t>
      </w:r>
    </w:p>
    <w:p>
      <w:pPr>
        <w:spacing w:after="0" w:line="108" w:lineRule="exact"/>
        <w:rPr>
          <w:sz w:val="20"/>
          <w:szCs w:val="20"/>
          <w:color w:val="auto"/>
        </w:rPr>
      </w:pPr>
    </w:p>
    <w:p>
      <w:pPr>
        <w:sectPr>
          <w:pgSz w:w="11900" w:h="16838" w:orient="portrait"/>
          <w:cols w:equalWidth="0" w:num="2">
            <w:col w:w="3400" w:space="160"/>
            <w:col w:w="7440"/>
          </w:cols>
          <w:pgMar w:left="320" w:top="482" w:right="579" w:bottom="1440" w:gutter="0" w:footer="0" w:header="0"/>
          <w:type w:val="continuous"/>
        </w:sectPr>
      </w:pPr>
    </w:p>
    <w:p>
      <w:pPr>
        <w:jc w:val="center"/>
        <w:ind w:right="-2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320" w:top="482" w:right="5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Why this type of security is being used</w:t>
      </w:r>
    </w:p>
    <w:p>
      <w:pPr>
        <w:spacing w:after="0" w:line="200" w:lineRule="exact"/>
        <w:rPr>
          <w:sz w:val="20"/>
          <w:szCs w:val="20"/>
          <w:color w:val="auto"/>
        </w:rPr>
      </w:pPr>
    </w:p>
    <w:p>
      <w:pPr>
        <w:spacing w:after="0" w:line="279"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color w:val="auto"/>
        </w:rPr>
        <w:t>Date of issue of RSUs and PRSUs</w:t>
      </w:r>
    </w:p>
    <w:p>
      <w:pPr>
        <w:spacing w:after="0" w:line="47"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color w:val="auto"/>
        </w:rPr>
        <w:t>Price of issue of RSUs and PRSUs</w:t>
      </w:r>
    </w:p>
    <w:p>
      <w:pPr>
        <w:spacing w:after="0" w:line="47"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color w:val="auto"/>
        </w:rPr>
        <w:t>Summary of material terms of any loan in relation to the acquisition of RSUs and PRSUs</w:t>
      </w:r>
    </w:p>
    <w:p>
      <w:pPr>
        <w:spacing w:after="0" w:line="4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Number of RSUs and PRSUs to be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 October 24, 2017: 208,987 options with an exercise price of US$2.15 per share and an expiry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-676275</wp:posOffset>
            </wp:positionV>
            <wp:extent cx="717486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October 23, 2027.</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 July 16, 2018: 1,269,386 options with an exercise price of US$2.53 per share and an expiry date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July 15, 2028.</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 October 30, 2018: 10 options with an exercise price of US$9.55 per share and an expiry date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October 29, 2028.</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 April 7, 2020: 49,453 RSUs that fully vested on April 7, 2022.</w:t>
      </w:r>
    </w:p>
    <w:p>
      <w:pPr>
        <w:spacing w:after="0" w:line="1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 July 30, 2020: 230,000 options with an exercise price of US$7.28 per share and an expiry date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July 30, 2030.</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 February 1, 2021: 100,000 options with an exercise price of US$13.35 per share and an expiry date of</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February 1, 2027 and 50,000 RSUs.</w:t>
      </w:r>
    </w:p>
    <w:p>
      <w:pPr>
        <w:spacing w:after="0" w:line="1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 May 20, 2022: 69,220 RSUs and 281,965 options with an exercise price of US$8.19 per share and an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expiry date of May 20, 2028.</w:t>
      </w:r>
    </w:p>
    <w:p>
      <w:pPr>
        <w:spacing w:after="0" w:line="112" w:lineRule="exact"/>
        <w:rPr>
          <w:sz w:val="20"/>
          <w:szCs w:val="20"/>
          <w:color w:val="auto"/>
        </w:rPr>
      </w:pPr>
    </w:p>
    <w:p>
      <w:pPr>
        <w:ind w:left="360" w:right="200" w:hanging="359"/>
        <w:spacing w:after="0" w:line="282" w:lineRule="auto"/>
        <w:rPr>
          <w:sz w:val="20"/>
          <w:szCs w:val="20"/>
          <w:color w:val="auto"/>
        </w:rPr>
      </w:pPr>
      <w:r>
        <w:rPr>
          <w:rFonts w:ascii="Times New Roman" w:cs="Times New Roman" w:eastAsia="Times New Roman" w:hAnsi="Times New Roman"/>
          <w:sz w:val="18"/>
          <w:szCs w:val="18"/>
          <w:color w:val="auto"/>
        </w:rPr>
        <w:t>*    This grant was subsequently cancelled and is not currently outstanding. No shares subject to the grant were exercised.</w:t>
      </w:r>
    </w:p>
    <w:p>
      <w:pPr>
        <w:spacing w:after="0" w:line="67" w:lineRule="exact"/>
        <w:rPr>
          <w:sz w:val="20"/>
          <w:szCs w:val="20"/>
          <w:color w:val="auto"/>
        </w:rPr>
      </w:pPr>
    </w:p>
    <w:p>
      <w:pPr>
        <w:ind w:left="360" w:right="260" w:hanging="359"/>
        <w:spacing w:after="0" w:line="282" w:lineRule="auto"/>
        <w:rPr>
          <w:sz w:val="20"/>
          <w:szCs w:val="20"/>
          <w:color w:val="auto"/>
        </w:rPr>
      </w:pPr>
      <w:r>
        <w:rPr>
          <w:rFonts w:ascii="Times New Roman" w:cs="Times New Roman" w:eastAsia="Times New Roman" w:hAnsi="Times New Roman"/>
          <w:sz w:val="18"/>
          <w:szCs w:val="18"/>
          <w:color w:val="auto"/>
        </w:rPr>
        <w:t>**    This grant subsequently expired and is not currently outstanding. No shares subject to the grant were exercised.</w:t>
      </w:r>
    </w:p>
    <w:p>
      <w:pPr>
        <w:spacing w:after="0" w:line="6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It is market practice in the U.S. for executive compensation to include an equity component (commonly options and/or RSUs) to incentivize and retain individuals and align their interests with the interests of the stockholders. The proposed grant of RSUs and PRSUs to Chris Hulls is a cost-effective way to incentivize and retain Chris Hulls.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30, 2024 (Australia) (May 29, 2024 (U.S.)) (the “Annual Meeting 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will issue the RSUs and PRSUs to Chris Hulls under the Stock Plan for nil cash consideration.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not make a loan to Chris Hulls in connection with the issue of the RSUs and PRSUs.</w:t>
      </w:r>
    </w:p>
    <w:p>
      <w:pPr>
        <w:spacing w:after="0" w:line="200" w:lineRule="exact"/>
        <w:rPr>
          <w:sz w:val="20"/>
          <w:szCs w:val="20"/>
          <w:color w:val="auto"/>
        </w:rPr>
      </w:pPr>
    </w:p>
    <w:p>
      <w:pPr>
        <w:spacing w:after="0" w:line="3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Approval is sought to issue to Chris Hulls the number of RSUs calculated using the following formula (rounded down to the nearest whole share):</w:t>
      </w:r>
    </w:p>
    <w:p>
      <w:pPr>
        <w:spacing w:after="0" w:line="6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 xml:space="preserve">         $1,200,000 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-7620</wp:posOffset>
            </wp:positionV>
            <wp:extent cx="13138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Annual Meeting Date FMV</w:t>
      </w:r>
    </w:p>
    <w:p>
      <w:pPr>
        <w:spacing w:after="0" w:line="11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Approval is also sought to issue to Chris Hulls up to the maximum number of PRSUs that will vest if the Company’s performance warranted the maximum possible award for the year ending December 31, 2024 (200% of the $1,800,000 target (the “Target”)) (rounded down to the nearest whole share).</w:t>
      </w:r>
    </w:p>
    <w:p>
      <w:pPr>
        <w:spacing w:after="0" w:line="8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 xml:space="preserve">         $3,600,000 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-7620</wp:posOffset>
            </wp:positionV>
            <wp:extent cx="13138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Annual Meeting Date FMV</w:t>
      </w:r>
    </w:p>
    <w:p>
      <w:pPr>
        <w:spacing w:after="0" w:line="15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2">
            <w:col w:w="2540" w:space="660"/>
            <w:col w:w="7860"/>
          </w:cols>
          <w:pgMar w:left="320" w:top="482"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Summary of material terms of the RSUs and the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line="317" w:lineRule="auto"/>
        <w:rPr>
          <w:sz w:val="20"/>
          <w:szCs w:val="20"/>
          <w:color w:val="auto"/>
        </w:rPr>
      </w:pPr>
      <w:r>
        <w:rPr>
          <w:rFonts w:ascii="Times New Roman" w:cs="Times New Roman" w:eastAsia="Times New Roman" w:hAnsi="Times New Roman"/>
          <w:sz w:val="17"/>
          <w:szCs w:val="17"/>
          <w:b w:val="1"/>
          <w:bCs w:val="1"/>
          <w:color w:val="auto"/>
        </w:rPr>
        <w:t>Summary of material terms of the PRSUs and the Stock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line="255" w:lineRule="auto"/>
        <w:rPr>
          <w:sz w:val="20"/>
          <w:szCs w:val="20"/>
          <w:color w:val="auto"/>
        </w:rPr>
      </w:pPr>
      <w:r>
        <w:rPr>
          <w:rFonts w:ascii="Times New Roman" w:cs="Times New Roman" w:eastAsia="Times New Roman" w:hAnsi="Times New Roman"/>
          <w:sz w:val="18"/>
          <w:szCs w:val="18"/>
          <w:color w:val="auto"/>
        </w:rPr>
        <w:t>The Annual Meeting Date FMV shall be equal to the calculated U.S. Dollar equivalent of one share of common stock on the Annual Meeting Date or, if our securities are not traded on such day, the calculated U.S. Dollar equivalent of one share of common stock on the last business day prior to the Annual Meeting Date, as calculated by (i) multiplying the closing price of the CDIs on such day by the CDI/share of common stock ratio (3) and (ii) taking into account the exchange rate for the U.S. Dollar to the Australian Dollar as published in the Wall Street Journal on the Annual Meeting Date or, if there is no exchange rate for such date, the last exchange rate published prior to the Annual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-1591310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200" w:right="120"/>
        <w:spacing w:after="0" w:line="257" w:lineRule="auto"/>
        <w:rPr>
          <w:sz w:val="20"/>
          <w:szCs w:val="20"/>
          <w:color w:val="auto"/>
        </w:rPr>
      </w:pPr>
      <w:r>
        <w:rPr>
          <w:rFonts w:ascii="Times New Roman" w:cs="Times New Roman" w:eastAsia="Times New Roman" w:hAnsi="Times New Roman"/>
          <w:sz w:val="18"/>
          <w:szCs w:val="18"/>
          <w:color w:val="auto"/>
        </w:rPr>
        <w:t>The below table is indicative only and illustrates the value that may be attributed to the RSUs and/or PRSUs based on hypothetical Annual Meeting Date FMVs calculated by the Company:</w:t>
      </w:r>
    </w:p>
    <w:tbl>
      <w:tblPr>
        <w:tblLayout w:type="fixed"/>
        <w:tblInd w:w="0" w:type="dxa"/>
        <w:tblCellMar>
          <w:top w:w="0" w:type="dxa"/>
          <w:left w:w="0" w:type="dxa"/>
          <w:bottom w:w="0" w:type="dxa"/>
          <w:right w:w="0" w:type="dxa"/>
        </w:tblCellMar>
      </w:tblPr>
      <w:tr>
        <w:trPr>
          <w:trHeight w:val="137"/>
        </w:trPr>
        <w:tc>
          <w:tcPr>
            <w:tcW w:w="3360" w:type="dxa"/>
            <w:vAlign w:val="bottom"/>
          </w:tcPr>
          <w:p>
            <w:pPr>
              <w:spacing w:after="0"/>
              <w:rPr>
                <w:sz w:val="11"/>
                <w:szCs w:val="11"/>
                <w:color w:val="auto"/>
              </w:rPr>
            </w:pPr>
          </w:p>
        </w:tc>
        <w:tc>
          <w:tcPr>
            <w:tcW w:w="2660" w:type="dxa"/>
            <w:vAlign w:val="bottom"/>
          </w:tcPr>
          <w:p>
            <w:pPr>
              <w:ind w:left="920"/>
              <w:spacing w:after="0" w:line="137" w:lineRule="exact"/>
              <w:rPr>
                <w:sz w:val="20"/>
                <w:szCs w:val="20"/>
                <w:color w:val="auto"/>
              </w:rPr>
            </w:pPr>
            <w:r>
              <w:rPr>
                <w:rFonts w:ascii="Times New Roman" w:cs="Times New Roman" w:eastAsia="Times New Roman" w:hAnsi="Times New Roman"/>
                <w:sz w:val="14"/>
                <w:szCs w:val="14"/>
                <w:b w:val="1"/>
                <w:bCs w:val="1"/>
                <w:color w:val="auto"/>
              </w:rPr>
              <w:t>RSUs</w:t>
            </w:r>
          </w:p>
        </w:tc>
        <w:tc>
          <w:tcPr>
            <w:tcW w:w="1780" w:type="dxa"/>
            <w:vAlign w:val="bottom"/>
          </w:tcPr>
          <w:p>
            <w:pPr>
              <w:jc w:val="right"/>
              <w:ind w:right="735"/>
              <w:spacing w:after="0" w:line="137" w:lineRule="exact"/>
              <w:rPr>
                <w:sz w:val="20"/>
                <w:szCs w:val="20"/>
                <w:color w:val="auto"/>
              </w:rPr>
            </w:pPr>
            <w:r>
              <w:rPr>
                <w:rFonts w:ascii="Times New Roman" w:cs="Times New Roman" w:eastAsia="Times New Roman" w:hAnsi="Times New Roman"/>
                <w:sz w:val="14"/>
                <w:szCs w:val="14"/>
                <w:b w:val="1"/>
                <w:bCs w:val="1"/>
                <w:color w:val="auto"/>
              </w:rPr>
              <w:t>PRSUs</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Based on a Meeting Date FMV of</w:t>
            </w:r>
          </w:p>
        </w:tc>
        <w:tc>
          <w:tcPr>
            <w:tcW w:w="2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52,151 RSUs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78,226 PRSUs</w:t>
            </w:r>
          </w:p>
        </w:tc>
      </w:tr>
      <w:tr>
        <w:trPr>
          <w:trHeight w:val="216"/>
        </w:trPr>
        <w:tc>
          <w:tcPr>
            <w:tcW w:w="3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US$23.01</w:t>
            </w:r>
            <w:r>
              <w:rPr>
                <w:rFonts w:ascii="Times New Roman" w:cs="Times New Roman" w:eastAsia="Times New Roman" w:hAnsi="Times New Roman"/>
                <w:sz w:val="25"/>
                <w:szCs w:val="25"/>
                <w:color w:val="auto"/>
                <w:vertAlign w:val="superscript"/>
              </w:rPr>
              <w:t>(1)</w:t>
            </w:r>
          </w:p>
        </w:tc>
        <w:tc>
          <w:tcPr>
            <w:tcW w:w="26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Based on a Meeting Date FMV of</w:t>
            </w:r>
          </w:p>
        </w:tc>
        <w:tc>
          <w:tcPr>
            <w:tcW w:w="2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46,153 RSUs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69,230 PRSUs</w:t>
            </w:r>
          </w:p>
        </w:tc>
      </w:tr>
      <w:tr>
        <w:trPr>
          <w:trHeight w:val="216"/>
        </w:trPr>
        <w:tc>
          <w:tcPr>
            <w:tcW w:w="3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US$26.00</w:t>
            </w:r>
            <w:r>
              <w:rPr>
                <w:rFonts w:ascii="Times New Roman" w:cs="Times New Roman" w:eastAsia="Times New Roman" w:hAnsi="Times New Roman"/>
                <w:sz w:val="25"/>
                <w:szCs w:val="25"/>
                <w:color w:val="auto"/>
                <w:vertAlign w:val="superscript"/>
              </w:rPr>
              <w:t>(2)</w:t>
            </w:r>
          </w:p>
        </w:tc>
        <w:tc>
          <w:tcPr>
            <w:tcW w:w="26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Based on a Meeting Date FMV of</w:t>
            </w:r>
          </w:p>
        </w:tc>
        <w:tc>
          <w:tcPr>
            <w:tcW w:w="2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41,365 RSUs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62,047 PRUs</w:t>
            </w:r>
          </w:p>
        </w:tc>
      </w:tr>
      <w:tr>
        <w:trPr>
          <w:trHeight w:val="34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US$29.01</w:t>
            </w:r>
            <w:r>
              <w:rPr>
                <w:rFonts w:ascii="Times New Roman" w:cs="Times New Roman" w:eastAsia="Times New Roman" w:hAnsi="Times New Roman"/>
                <w:sz w:val="26"/>
                <w:szCs w:val="26"/>
                <w:color w:val="auto"/>
                <w:vertAlign w:val="superscript"/>
              </w:rPr>
              <w:t>(3)</w:t>
            </w:r>
          </w:p>
        </w:tc>
        <w:tc>
          <w:tcPr>
            <w:tcW w:w="26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ind w:left="560" w:right="120" w:hanging="359"/>
        <w:spacing w:after="0" w:line="258" w:lineRule="auto"/>
        <w:rPr>
          <w:sz w:val="20"/>
          <w:szCs w:val="20"/>
          <w:color w:val="auto"/>
        </w:rPr>
      </w:pPr>
      <w:r>
        <w:rPr>
          <w:rFonts w:ascii="Times New Roman" w:cs="Times New Roman" w:eastAsia="Times New Roman" w:hAnsi="Times New Roman"/>
          <w:sz w:val="18"/>
          <w:szCs w:val="18"/>
          <w:color w:val="auto"/>
        </w:rPr>
        <w:t>(1)    Rounded to the nearest whole cent and assuming a closing price of A$11.62, CDI/share ratio of 3:1 and exchange rate of A$1:US$0.66.</w:t>
      </w:r>
    </w:p>
    <w:p>
      <w:pPr>
        <w:spacing w:after="0" w:line="88" w:lineRule="exact"/>
        <w:rPr>
          <w:sz w:val="20"/>
          <w:szCs w:val="20"/>
          <w:color w:val="auto"/>
        </w:rPr>
      </w:pPr>
    </w:p>
    <w:p>
      <w:pPr>
        <w:ind w:left="560" w:right="120" w:hanging="359"/>
        <w:spacing w:after="0" w:line="282" w:lineRule="auto"/>
        <w:rPr>
          <w:sz w:val="20"/>
          <w:szCs w:val="20"/>
          <w:color w:val="auto"/>
        </w:rPr>
      </w:pPr>
      <w:r>
        <w:rPr>
          <w:rFonts w:ascii="Times New Roman" w:cs="Times New Roman" w:eastAsia="Times New Roman" w:hAnsi="Times New Roman"/>
          <w:sz w:val="18"/>
          <w:szCs w:val="18"/>
          <w:color w:val="auto"/>
        </w:rPr>
        <w:t>(2)    Rounded to the nearest whole cent and assuming a closing price of A$13.13, CDI/share ratio of 3:1 and exchange rate of A$1:US$0.66.</w:t>
      </w:r>
    </w:p>
    <w:p>
      <w:pPr>
        <w:spacing w:after="0" w:line="67" w:lineRule="exact"/>
        <w:rPr>
          <w:sz w:val="20"/>
          <w:szCs w:val="20"/>
          <w:color w:val="auto"/>
        </w:rPr>
      </w:pPr>
    </w:p>
    <w:p>
      <w:pPr>
        <w:ind w:left="560" w:right="120" w:hanging="359"/>
        <w:spacing w:after="0" w:line="282" w:lineRule="auto"/>
        <w:rPr>
          <w:sz w:val="20"/>
          <w:szCs w:val="20"/>
          <w:color w:val="auto"/>
        </w:rPr>
      </w:pPr>
      <w:r>
        <w:rPr>
          <w:rFonts w:ascii="Times New Roman" w:cs="Times New Roman" w:eastAsia="Times New Roman" w:hAnsi="Times New Roman"/>
          <w:sz w:val="18"/>
          <w:szCs w:val="18"/>
          <w:color w:val="auto"/>
        </w:rPr>
        <w:t>(3)    Rounded to the nearest whole cent and assuming a closing price of A$14.65, CDI/share ratio of 3:1 and exchange rate of A$1:US$0.66.</w:t>
      </w:r>
    </w:p>
    <w:p>
      <w:pPr>
        <w:spacing w:after="0" w:line="67" w:lineRule="exact"/>
        <w:rPr>
          <w:sz w:val="20"/>
          <w:szCs w:val="20"/>
          <w:color w:val="auto"/>
        </w:rPr>
      </w:pPr>
    </w:p>
    <w:p>
      <w:pPr>
        <w:ind w:left="200" w:right="20"/>
        <w:spacing w:after="0" w:line="261" w:lineRule="auto"/>
        <w:rPr>
          <w:sz w:val="20"/>
          <w:szCs w:val="20"/>
          <w:color w:val="auto"/>
        </w:rPr>
      </w:pPr>
      <w:r>
        <w:rPr>
          <w:rFonts w:ascii="Times New Roman" w:cs="Times New Roman" w:eastAsia="Times New Roman" w:hAnsi="Times New Roman"/>
          <w:sz w:val="18"/>
          <w:szCs w:val="18"/>
          <w:color w:val="auto"/>
        </w:rPr>
        <w:t>The RSUs will vest monthly in equal tranches over four years following January 1, 2024, provided that Chris Hulls remains a director of the Company as at the applicable vesting date and are settled in shares for nil consideration. Unvested RSUs automatically lapse upon a termination of service unless otherwise determined by the Board.</w:t>
      </w:r>
    </w:p>
    <w:p>
      <w:pPr>
        <w:spacing w:after="0" w:line="85" w:lineRule="exact"/>
        <w:rPr>
          <w:sz w:val="20"/>
          <w:szCs w:val="20"/>
          <w:color w:val="auto"/>
        </w:rPr>
      </w:pPr>
    </w:p>
    <w:p>
      <w:pPr>
        <w:ind w:left="200" w:right="160"/>
        <w:spacing w:after="0" w:line="282" w:lineRule="auto"/>
        <w:rPr>
          <w:sz w:val="20"/>
          <w:szCs w:val="20"/>
          <w:color w:val="auto"/>
        </w:rPr>
      </w:pPr>
      <w:r>
        <w:rPr>
          <w:rFonts w:ascii="Times New Roman" w:cs="Times New Roman" w:eastAsia="Times New Roman" w:hAnsi="Times New Roman"/>
          <w:sz w:val="18"/>
          <w:szCs w:val="18"/>
          <w:color w:val="auto"/>
        </w:rPr>
        <w:t>The RSUs will be issued on terms and conditions set out in the Stock Plan, a summary of which is provided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in this proxy statement.</w:t>
      </w:r>
    </w:p>
    <w:p>
      <w:pPr>
        <w:spacing w:after="0" w:line="67" w:lineRule="exact"/>
        <w:rPr>
          <w:sz w:val="20"/>
          <w:szCs w:val="20"/>
          <w:color w:val="auto"/>
        </w:rPr>
      </w:pPr>
    </w:p>
    <w:p>
      <w:pPr>
        <w:ind w:left="200" w:right="400"/>
        <w:spacing w:after="0" w:line="282" w:lineRule="auto"/>
        <w:rPr>
          <w:sz w:val="20"/>
          <w:szCs w:val="20"/>
          <w:color w:val="auto"/>
        </w:rPr>
      </w:pPr>
      <w:r>
        <w:rPr>
          <w:rFonts w:ascii="Times New Roman" w:cs="Times New Roman" w:eastAsia="Times New Roman" w:hAnsi="Times New Roman"/>
          <w:sz w:val="18"/>
          <w:szCs w:val="18"/>
          <w:color w:val="auto"/>
        </w:rPr>
        <w:t>The vesting conditions for the PRSUs will comprise the following two metrics, each with a weighting of 50%:</w:t>
      </w:r>
    </w:p>
    <w:p>
      <w:pPr>
        <w:spacing w:after="0" w:line="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 a revenue metric for the year ending December 31, 2024; and</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 an Adjusted EBITDA metric for the year ending December 31, 2024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ind w:left="200" w:right="260"/>
        <w:spacing w:after="0" w:line="253" w:lineRule="auto"/>
        <w:rPr>
          <w:sz w:val="20"/>
          <w:szCs w:val="20"/>
          <w:color w:val="auto"/>
        </w:rPr>
      </w:pPr>
      <w:r>
        <w:rPr>
          <w:rFonts w:ascii="Times New Roman" w:cs="Times New Roman" w:eastAsia="Times New Roman" w:hAnsi="Times New Roman"/>
          <w:sz w:val="18"/>
          <w:szCs w:val="18"/>
          <w:color w:val="auto"/>
        </w:rPr>
        <w:t>Each of the revenue metric and the Adjusted EBITDA metric is within the Company’s published revenue ($365-$375 million) and Adjusted EBITDA ($30-$35 million) guidance described in the Company’s press release filed as Exhibit 99.1 to the Company’s Current Report on Form 8-K filed with the SEC on February 29, 2024. See the Appendix for additional information on Adjusted EBITDA.</w:t>
      </w:r>
    </w:p>
    <w:p>
      <w:pPr>
        <w:spacing w:after="0" w:line="133"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2">
            <w:col w:w="2440" w:space="560"/>
            <w:col w:w="8120"/>
          </w:cols>
          <w:pgMar w:left="320" w:top="482"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Value attributed to the RSUs and PRSUs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40" w:type="dxa"/>
            <w:vAlign w:val="bottom"/>
          </w:tcPr>
          <w:p>
            <w:pPr>
              <w:spacing w:after="0"/>
              <w:rPr>
                <w:sz w:val="16"/>
                <w:szCs w:val="16"/>
                <w:color w:val="auto"/>
              </w:rPr>
            </w:pPr>
          </w:p>
        </w:tc>
        <w:tc>
          <w:tcPr>
            <w:tcW w:w="41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Revenue (50% Weighting)</w:t>
            </w:r>
          </w:p>
        </w:tc>
        <w:tc>
          <w:tcPr>
            <w:tcW w:w="300" w:type="dxa"/>
            <w:vAlign w:val="bottom"/>
          </w:tcPr>
          <w:p>
            <w:pPr>
              <w:spacing w:after="0"/>
              <w:rPr>
                <w:sz w:val="16"/>
                <w:szCs w:val="16"/>
                <w:color w:val="auto"/>
              </w:rPr>
            </w:pPr>
          </w:p>
        </w:tc>
        <w:tc>
          <w:tcPr>
            <w:tcW w:w="39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Adjusted EBITDA (50% Weighting)</w:t>
            </w:r>
          </w:p>
        </w:tc>
      </w:tr>
      <w:tr>
        <w:trPr>
          <w:trHeight w:val="228"/>
        </w:trPr>
        <w:tc>
          <w:tcPr>
            <w:tcW w:w="140" w:type="dxa"/>
            <w:vAlign w:val="bottom"/>
          </w:tcPr>
          <w:p>
            <w:pPr>
              <w:spacing w:after="0"/>
              <w:rPr>
                <w:sz w:val="19"/>
                <w:szCs w:val="19"/>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90% of revenue target.</w:t>
            </w:r>
          </w:p>
        </w:tc>
        <w:tc>
          <w:tcPr>
            <w:tcW w:w="30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Threshold: 90% of Adjusted EBITDA target.</w:t>
            </w:r>
          </w:p>
        </w:tc>
      </w:tr>
      <w:tr>
        <w:trPr>
          <w:trHeight w:val="301"/>
        </w:trPr>
        <w:tc>
          <w:tcPr>
            <w:tcW w:w="140" w:type="dxa"/>
            <w:vAlign w:val="bottom"/>
          </w:tcPr>
          <w:p>
            <w:pPr>
              <w:spacing w:after="0"/>
              <w:rPr>
                <w:sz w:val="24"/>
                <w:szCs w:val="24"/>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revenue is below the threshold, 50% of the PRSUs</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If Adjusted EBITDA is below the threshold, 50% of</w:t>
            </w:r>
          </w:p>
        </w:tc>
      </w:tr>
      <w:tr>
        <w:trPr>
          <w:trHeight w:val="241"/>
        </w:trPr>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 lapse.</w:t>
            </w:r>
          </w:p>
        </w:tc>
        <w:tc>
          <w:tcPr>
            <w:tcW w:w="42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the PRSUs will lapse.</w:t>
            </w:r>
          </w:p>
        </w:tc>
      </w:tr>
      <w:tr>
        <w:trPr>
          <w:trHeight w:val="198"/>
        </w:trPr>
        <w:tc>
          <w:tcPr>
            <w:tcW w:w="140" w:type="dxa"/>
            <w:vAlign w:val="bottom"/>
          </w:tcPr>
          <w:p>
            <w:pPr>
              <w:spacing w:after="0"/>
              <w:rPr>
                <w:sz w:val="17"/>
                <w:szCs w:val="17"/>
                <w:color w:val="auto"/>
              </w:rPr>
            </w:pPr>
          </w:p>
        </w:tc>
        <w:tc>
          <w:tcPr>
            <w:tcW w:w="410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If revenue is above target and the Adjusted EBITDA</w:t>
            </w:r>
          </w:p>
        </w:tc>
        <w:tc>
          <w:tcPr>
            <w:tcW w:w="300" w:type="dxa"/>
            <w:vAlign w:val="bottom"/>
          </w:tcPr>
          <w:p>
            <w:pPr>
              <w:spacing w:after="0"/>
              <w:rPr>
                <w:sz w:val="17"/>
                <w:szCs w:val="17"/>
                <w:color w:val="auto"/>
              </w:rPr>
            </w:pPr>
          </w:p>
        </w:tc>
        <w:tc>
          <w:tcPr>
            <w:tcW w:w="3960" w:type="dxa"/>
            <w:vAlign w:val="bottom"/>
          </w:tcPr>
          <w:p>
            <w:pPr>
              <w:spacing w:after="0"/>
              <w:rPr>
                <w:sz w:val="17"/>
                <w:szCs w:val="17"/>
                <w:color w:val="auto"/>
              </w:rPr>
            </w:pPr>
          </w:p>
        </w:tc>
      </w:tr>
      <w:tr>
        <w:trPr>
          <w:trHeight w:val="216"/>
        </w:trPr>
        <w:tc>
          <w:tcPr>
            <w:tcW w:w="140" w:type="dxa"/>
            <w:vAlign w:val="bottom"/>
          </w:tcPr>
          <w:p>
            <w:pPr>
              <w:spacing w:after="0"/>
              <w:rPr>
                <w:sz w:val="18"/>
                <w:szCs w:val="18"/>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is achieved: up to 100% of the PRSUs will</w:t>
            </w:r>
          </w:p>
        </w:tc>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34"/>
        </w:trPr>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vest (representing 200% of Target).</w:t>
            </w:r>
          </w:p>
        </w:tc>
        <w:tc>
          <w:tcPr>
            <w:tcW w:w="30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tcPr>
          <w:p>
            <w:pPr>
              <w:spacing w:after="0"/>
              <w:rPr>
                <w:sz w:val="20"/>
                <w:szCs w:val="20"/>
                <w:color w:val="auto"/>
              </w:rPr>
            </w:pPr>
          </w:p>
        </w:tc>
      </w:tr>
      <w:tr>
        <w:trPr>
          <w:trHeight w:val="286"/>
        </w:trPr>
        <w:tc>
          <w:tcPr>
            <w:tcW w:w="140" w:type="dxa"/>
            <w:vAlign w:val="bottom"/>
          </w:tcPr>
          <w:p>
            <w:pPr>
              <w:spacing w:after="0"/>
              <w:rPr>
                <w:sz w:val="24"/>
                <w:szCs w:val="24"/>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If revenue is above target and the Adjusted EBITDA</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If Adjusted EBITDA is above target and the revenue</w:t>
            </w:r>
          </w:p>
        </w:tc>
      </w:tr>
      <w:tr>
        <w:trPr>
          <w:trHeight w:val="216"/>
        </w:trPr>
        <w:tc>
          <w:tcPr>
            <w:tcW w:w="140" w:type="dxa"/>
            <w:vAlign w:val="bottom"/>
          </w:tcPr>
          <w:p>
            <w:pPr>
              <w:spacing w:after="0"/>
              <w:rPr>
                <w:sz w:val="18"/>
                <w:szCs w:val="18"/>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threshold is not achieved: up to 50% of the PRSUs will</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threshold is not achieved: up to 50% of the PRSUs</w:t>
            </w:r>
          </w:p>
        </w:tc>
      </w:tr>
      <w:tr>
        <w:trPr>
          <w:trHeight w:val="234"/>
        </w:trPr>
        <w:tc>
          <w:tcPr>
            <w:tcW w:w="14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vest (representing 100% of Target).</w:t>
            </w:r>
          </w:p>
        </w:tc>
        <w:tc>
          <w:tcPr>
            <w:tcW w:w="42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will vest (representing 100% of Target)</w:t>
            </w:r>
          </w:p>
        </w:tc>
      </w:tr>
      <w:tr>
        <w:trPr>
          <w:trHeight w:val="286"/>
        </w:trPr>
        <w:tc>
          <w:tcPr>
            <w:tcW w:w="140" w:type="dxa"/>
            <w:vAlign w:val="bottom"/>
          </w:tcPr>
          <w:p>
            <w:pPr>
              <w:spacing w:after="0"/>
              <w:rPr>
                <w:sz w:val="24"/>
                <w:szCs w:val="24"/>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Payout 3:1 for Revenue above target, subject a cap of</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Payout 2:1 for Adjusted EBITDA beyond target</w:t>
            </w:r>
          </w:p>
        </w:tc>
      </w:tr>
      <w:tr>
        <w:trPr>
          <w:trHeight w:val="216"/>
        </w:trPr>
        <w:tc>
          <w:tcPr>
            <w:tcW w:w="140" w:type="dxa"/>
            <w:vAlign w:val="bottom"/>
          </w:tcPr>
          <w:p>
            <w:pPr>
              <w:spacing w:after="0"/>
              <w:rPr>
                <w:sz w:val="18"/>
                <w:szCs w:val="18"/>
                <w:color w:val="auto"/>
              </w:rPr>
            </w:pP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200% of Target, as set out in the below table.</w:t>
            </w: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subject a cap of 200% of Target, as set out in the</w:t>
            </w:r>
          </w:p>
        </w:tc>
      </w:tr>
      <w:tr>
        <w:trPr>
          <w:trHeight w:val="234"/>
        </w:trPr>
        <w:tc>
          <w:tcPr>
            <w:tcW w:w="140" w:type="dxa"/>
            <w:vAlign w:val="bottom"/>
          </w:tcPr>
          <w:p>
            <w:pPr>
              <w:spacing w:after="0"/>
              <w:rPr>
                <w:sz w:val="20"/>
                <w:szCs w:val="20"/>
                <w:color w:val="auto"/>
              </w:rPr>
            </w:pPr>
          </w:p>
        </w:tc>
        <w:tc>
          <w:tcPr>
            <w:tcW w:w="4100" w:type="dxa"/>
            <w:vAlign w:val="bottom"/>
            <w:tcBorders>
              <w:right w:val="single" w:sz="8" w:color="auto"/>
            </w:tcBorders>
          </w:tcPr>
          <w:p>
            <w:pPr>
              <w:spacing w:after="0"/>
              <w:rPr>
                <w:sz w:val="20"/>
                <w:szCs w:val="20"/>
                <w:color w:val="auto"/>
              </w:rPr>
            </w:pPr>
          </w:p>
        </w:tc>
        <w:tc>
          <w:tcPr>
            <w:tcW w:w="4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below 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-2545080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154305</wp:posOffset>
            </wp:positionV>
            <wp:extent cx="3711575" cy="1174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11575"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20" w:right="340" w:hanging="359"/>
        <w:spacing w:after="0" w:line="213"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“Perf” means actual performance measured against the revenue target and Adjusted EBITDA target, respectively. “Payout” means the percentage of the target that will be earned and vest.</w:t>
      </w:r>
    </w:p>
    <w:p>
      <w:pPr>
        <w:spacing w:after="0" w:line="104" w:lineRule="exact"/>
        <w:rPr>
          <w:sz w:val="20"/>
          <w:szCs w:val="20"/>
          <w:color w:val="auto"/>
        </w:rPr>
      </w:pPr>
    </w:p>
    <w:p>
      <w:pPr>
        <w:ind w:left="560" w:right="140"/>
        <w:spacing w:after="0" w:line="256" w:lineRule="auto"/>
        <w:rPr>
          <w:sz w:val="20"/>
          <w:szCs w:val="20"/>
          <w:color w:val="auto"/>
        </w:rPr>
      </w:pPr>
      <w:r>
        <w:rPr>
          <w:rFonts w:ascii="Times New Roman" w:cs="Times New Roman" w:eastAsia="Times New Roman" w:hAnsi="Times New Roman"/>
          <w:sz w:val="18"/>
          <w:szCs w:val="18"/>
          <w:color w:val="auto"/>
        </w:rPr>
        <w:t>Following the performance period, the number of PRSUs that will vest will be determined by the Remuneration and Nomination Committee having regard to the above performance metrics. 25% of any earned PRSUs will vest on the first quarterly vesting date following such determination, with the remaining 75% converting to time-based RSUs and vesting in twelve equal quarterly installments and will be settled in shares for nil consideration, subject to continued employment through each vesting date. Unvested RSUs automatically lapse upon a termination of service unless otherwise determined by the Board.</w:t>
      </w:r>
    </w:p>
    <w:p>
      <w:pPr>
        <w:spacing w:after="0" w:line="93"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PRSUs will be issued on terms and conditions set out in the Stock Plan, a summary of which is provided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in this proxy statement.</w:t>
      </w:r>
    </w:p>
    <w:p>
      <w:pPr>
        <w:spacing w:after="0" w:line="67" w:lineRule="exact"/>
        <w:rPr>
          <w:sz w:val="20"/>
          <w:szCs w:val="20"/>
          <w:color w:val="auto"/>
        </w:rPr>
      </w:pPr>
    </w:p>
    <w:p>
      <w:pPr>
        <w:ind w:left="560" w:right="100"/>
        <w:spacing w:after="0" w:line="261" w:lineRule="auto"/>
        <w:rPr>
          <w:sz w:val="20"/>
          <w:szCs w:val="20"/>
          <w:color w:val="auto"/>
        </w:rPr>
      </w:pPr>
      <w:r>
        <w:rPr>
          <w:rFonts w:ascii="Times New Roman" w:cs="Times New Roman" w:eastAsia="Times New Roman" w:hAnsi="Times New Roman"/>
          <w:sz w:val="18"/>
          <w:szCs w:val="18"/>
          <w:color w:val="auto"/>
        </w:rPr>
        <w:t>The Company values the RSUs at US$1,200,000 and the PRSUs at US$1,800,000. The maximum amount of PRSUs that may be granted pursuant to this award is 200% of the target grant amount ($3,600,000). The Company is seeking approval for an aggregate award of RSUs and PRSUs equal to a total of approximately $4,800,000.</w:t>
      </w:r>
    </w:p>
    <w:p>
      <w:pPr>
        <w:spacing w:after="0" w:line="11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2">
            <w:col w:w="2320" w:space="320"/>
            <w:col w:w="850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If Proposal 2 is approved, the Company will proceed to grant the relevant RSUs and PRSUs to Chris Hulls. If Proposal 2 is not approved, the Company will not grant the relevant RSUs or PRSUs to Chris Hulls and will consider alternative incentives including an increase to the cash component of Chris Hulls’ compensation.</w:t>
      </w:r>
    </w:p>
    <w:p>
      <w:pPr>
        <w:spacing w:after="0" w:line="388" w:lineRule="exact"/>
        <w:rPr>
          <w:sz w:val="20"/>
          <w:szCs w:val="20"/>
          <w:color w:val="auto"/>
        </w:rPr>
      </w:pPr>
    </w:p>
    <w:p>
      <w:pPr>
        <w:jc w:val="center"/>
        <w:ind w:left="560" w:right="14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R</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4"/>
          <w:szCs w:val="14"/>
          <w:b w:val="1"/>
          <w:bCs w:val="1"/>
          <w:color w:val="auto"/>
        </w:rPr>
        <w:t>ULLS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2</w:t>
      </w:r>
    </w:p>
    <w:p>
      <w:pPr>
        <w:spacing w:after="0" w:line="9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320" w:top="482" w:right="5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PROPOSALS 3 TO 10</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OF GRANT OF RSUS TO NON-EXECUTIVE DIRECTORS</w:t>
      </w:r>
    </w:p>
    <w:p>
      <w:pPr>
        <w:spacing w:after="0" w:line="22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Proposals 3 to 10 seek stockholder approval in accordance with ASX Listing Rule 10.14 for the grant of RSUs to the relevant non-executive directors (as defined below) of the Company under the Stock Plan as follows:</w:t>
      </w:r>
    </w:p>
    <w:p>
      <w:pPr>
        <w:spacing w:after="0" w:line="67" w:lineRule="exact"/>
        <w:rPr>
          <w:sz w:val="20"/>
          <w:szCs w:val="20"/>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seeks stockholder approval in accordance with ASX Listing Rule 10.14 for the grant of RSUs to John Philip Coghlan under the Stock Plan;</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seeks stockholder approval in accordance with ASX Listing Rule 10.14 for the grant of RSUs to Brittany Morin under the Stock Plan;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seeks stockholder approval in accordance with ASX Listing Rule 10.14 for the grant of RSUs to James Synge under the Stock Plan;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6 seeks stockholder approval in accordance with ASX Listing Rule 10.14 for the grant of RSUs to Mark Goines under the Stock Plan;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7 seeks stockholder approval in accordance with ASX Listing Rule 10.14 for the grant of RSUs to David Wiadrowski under the Stock Plan;</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8 seeks stockholder approval in accordance with ASX Listing Rule 10.14 for the grant of RSUs to Randi Zuckerberg under the Stock Plan;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9 seeks stockholder approval in accordance with ASX Listing Rule 10.14 for the grant of RSUs to Alex Haro under the Stock Plan;</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10 seeks stockholder approval in accordance with ASX Listing Rule 10.14 for the grant of RSUs to Charles Prober under the Stock Plan.</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stockholder approval is obtained, the RSUs will be issued under and subject to the terms of the Stock Plan. The Remuneration and Nomination Committee believes that non-executive directors should maintain a meaningful level of share ownership to further align their interests with those of the Company’s stockholders and to ensure compensation is in line with market standards.</w:t>
      </w:r>
    </w:p>
    <w:p>
      <w:pPr>
        <w:spacing w:after="0" w:line="176"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ASX Listing Rule 10.14 provides that the Company must not permit a director or an associate of a director to acquire RSUs under an employee incentive scheme without the prior approval of the stockholders of the Company. The Stock Plan is an ‘employee incentive scheme’ for the purposes of the ASX Listing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Information Required by ASX Listing Rules 10.14 and 10.15</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purposes of ASX Listing Rules 10.14 and 10.15, the following additional information is provided to stockholders:</w:t>
      </w:r>
    </w:p>
    <w:p>
      <w:pPr>
        <w:sectPr>
          <w:pgSz w:w="11900" w:h="16838" w:orient="portrait"/>
          <w:cols w:equalWidth="0" w:num="1">
            <w:col w:w="11120"/>
          </w:cols>
          <w:pgMar w:left="320" w:top="482" w:right="45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Recipient of RSUs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RSUs will be granted to the non-executive directors of the Company, namely, John Philip Coghlan, Brittany Morin, James Synge, Mark Goines, David Wiadrowski, Randi Zuckerberg, Alex Haro and Charles Prober, who each fall within the category of person listed in ASX Listing Rule 10.14.1.</w:t>
      </w:r>
    </w:p>
    <w:p>
      <w:pPr>
        <w:spacing w:after="0" w:line="64" w:lineRule="exact"/>
        <w:rPr>
          <w:sz w:val="20"/>
          <w:szCs w:val="20"/>
          <w:color w:val="auto"/>
        </w:rPr>
      </w:pPr>
    </w:p>
    <w:p>
      <w:pPr>
        <w:sectPr>
          <w:pgSz w:w="11900" w:h="16838" w:orient="portrait"/>
          <w:cols w:equalWidth="0" w:num="2">
            <w:col w:w="2480" w:space="720"/>
            <w:col w:w="7920"/>
          </w:cols>
          <w:pgMar w:left="320" w:top="482" w:right="459" w:bottom="1440" w:gutter="0" w:footer="0" w:header="0"/>
          <w:type w:val="continuous"/>
        </w:sect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Why this type of security is being used</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Remuneration and Nomination Committee believes that non-executive directors should maintain a meaningful level of share ownership to further align their interests with those of the Company’s stockholders.</w:t>
      </w:r>
    </w:p>
    <w:p>
      <w:pPr>
        <w:spacing w:after="0" w:line="49" w:lineRule="exact"/>
        <w:rPr>
          <w:sz w:val="20"/>
          <w:szCs w:val="20"/>
          <w:color w:val="auto"/>
        </w:rPr>
      </w:pPr>
    </w:p>
    <w:p>
      <w:pPr>
        <w:sectPr>
          <w:pgSz w:w="11900" w:h="16838" w:orient="portrait"/>
          <w:cols w:equalWidth="0" w:num="2">
            <w:col w:w="2660" w:space="540"/>
            <w:col w:w="7920"/>
          </w:cols>
          <w:pgMar w:left="320" w:top="482" w:right="4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Date of issue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Annual Meeting Date.</w:t>
      </w:r>
    </w:p>
    <w:p>
      <w:pPr>
        <w:spacing w:after="0" w:line="158" w:lineRule="exact"/>
        <w:rPr>
          <w:sz w:val="20"/>
          <w:szCs w:val="20"/>
          <w:color w:val="auto"/>
        </w:rPr>
      </w:pPr>
    </w:p>
    <w:p>
      <w:pPr>
        <w:sectPr>
          <w:pgSz w:w="11900" w:h="16838" w:orient="portrait"/>
          <w:cols w:equalWidth="0" w:num="2">
            <w:col w:w="2480" w:space="720"/>
            <w:col w:w="7920"/>
          </w:cols>
          <w:pgMar w:left="320" w:top="482"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Price of issue of RSUs</w:t>
      </w:r>
      <w:r>
        <w:rPr>
          <w:sz w:val="20"/>
          <w:szCs w:val="20"/>
          <w:color w:val="auto"/>
        </w:rPr>
        <w:tab/>
      </w:r>
      <w:r>
        <w:rPr>
          <w:rFonts w:ascii="Times New Roman" w:cs="Times New Roman" w:eastAsia="Times New Roman" w:hAnsi="Times New Roman"/>
          <w:sz w:val="17"/>
          <w:szCs w:val="17"/>
          <w:color w:val="auto"/>
        </w:rPr>
        <w:t>The Company will issue the RSUs to the non-executive directors under the Stock Plan for nil cash consideration.</w:t>
      </w:r>
    </w:p>
    <w:p>
      <w:pPr>
        <w:spacing w:after="0" w:line="117" w:lineRule="exact"/>
        <w:rPr>
          <w:sz w:val="20"/>
          <w:szCs w:val="20"/>
          <w:color w:val="auto"/>
        </w:rPr>
      </w:pPr>
    </w:p>
    <w:p>
      <w:pPr>
        <w:ind w:left="120"/>
        <w:spacing w:after="0"/>
        <w:tabs>
          <w:tab w:leader="none" w:pos="2840" w:val="left"/>
        </w:tabs>
        <w:rPr>
          <w:sz w:val="20"/>
          <w:szCs w:val="20"/>
          <w:color w:val="auto"/>
        </w:rPr>
      </w:pPr>
      <w:r>
        <w:rPr>
          <w:rFonts w:ascii="Times New Roman" w:cs="Times New Roman" w:eastAsia="Times New Roman" w:hAnsi="Times New Roman"/>
          <w:sz w:val="18"/>
          <w:szCs w:val="18"/>
          <w:b w:val="1"/>
          <w:bCs w:val="1"/>
          <w:color w:val="auto"/>
        </w:rPr>
        <w:t>Summary of material terms of</w:t>
      </w:r>
      <w:r>
        <w:rPr>
          <w:sz w:val="20"/>
          <w:szCs w:val="20"/>
          <w:color w:val="auto"/>
        </w:rPr>
        <w:tab/>
      </w:r>
      <w:r>
        <w:rPr>
          <w:rFonts w:ascii="Times New Roman" w:cs="Times New Roman" w:eastAsia="Times New Roman" w:hAnsi="Times New Roman"/>
          <w:sz w:val="17"/>
          <w:szCs w:val="17"/>
          <w:color w:val="auto"/>
        </w:rPr>
        <w:t>The Company will not make a loan to the non-executive directors in connection with the issue of the RSUs.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any loan in relation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Summary of material terms of the  </w:t>
      </w:r>
      <w:r>
        <w:rPr>
          <w:rFonts w:ascii="Times New Roman" w:cs="Times New Roman" w:eastAsia="Times New Roman" w:hAnsi="Times New Roman"/>
          <w:sz w:val="18"/>
          <w:szCs w:val="18"/>
          <w:color w:val="auto"/>
        </w:rPr>
        <w:t>The RSUs will vest quarterly in equal tranches over the year following May 15, 2024 provided that the relevant</w:t>
      </w:r>
    </w:p>
    <w:p>
      <w:pPr>
        <w:spacing w:after="0" w:line="31" w:lineRule="exact"/>
        <w:rPr>
          <w:sz w:val="20"/>
          <w:szCs w:val="20"/>
          <w:color w:val="auto"/>
        </w:rPr>
      </w:pPr>
    </w:p>
    <w:p>
      <w:pPr>
        <w:ind w:left="2860" w:hanging="2739"/>
        <w:spacing w:after="0" w:line="253" w:lineRule="auto"/>
        <w:tabs>
          <w:tab w:leader="none" w:pos="2840" w:val="left"/>
        </w:tabs>
        <w:rPr>
          <w:sz w:val="20"/>
          <w:szCs w:val="20"/>
          <w:color w:val="auto"/>
        </w:rPr>
      </w:pPr>
      <w:r>
        <w:rPr>
          <w:rFonts w:ascii="Times New Roman" w:cs="Times New Roman" w:eastAsia="Times New Roman" w:hAnsi="Times New Roman"/>
          <w:sz w:val="18"/>
          <w:szCs w:val="18"/>
          <w:b w:val="1"/>
          <w:bCs w:val="1"/>
          <w:color w:val="auto"/>
        </w:rPr>
        <w:t>RSUs and the Stock Plan</w:t>
      </w:r>
      <w:r>
        <w:rPr>
          <w:sz w:val="20"/>
          <w:szCs w:val="20"/>
          <w:color w:val="auto"/>
        </w:rPr>
        <w:tab/>
      </w:r>
      <w:r>
        <w:rPr>
          <w:rFonts w:ascii="Times New Roman" w:cs="Times New Roman" w:eastAsia="Times New Roman" w:hAnsi="Times New Roman"/>
          <w:sz w:val="18"/>
          <w:szCs w:val="18"/>
          <w:color w:val="auto"/>
        </w:rPr>
        <w:t>non-executive director remains a director of the Company as at the applicable vesting date and are settled in shares for nil consideration. Unvested RSUs automatically lapse upon a termination of service unless otherwise determined by the Board. The RSUs will be issued on terms and conditions set out in the Stock Plan, a summary of which is provided in the section titled “Executive Compensation” in this proxy statement.</w:t>
      </w:r>
    </w:p>
    <w:p>
      <w:pPr>
        <w:spacing w:after="0" w:line="77" w:lineRule="exact"/>
        <w:rPr>
          <w:sz w:val="20"/>
          <w:szCs w:val="20"/>
          <w:color w:val="auto"/>
        </w:rPr>
      </w:pPr>
    </w:p>
    <w:p>
      <w:pPr>
        <w:ind w:left="2860" w:right="240" w:hanging="2739"/>
        <w:spacing w:after="0" w:line="282" w:lineRule="auto"/>
        <w:tabs>
          <w:tab w:leader="none" w:pos="2840" w:val="left"/>
        </w:tabs>
        <w:rPr>
          <w:sz w:val="20"/>
          <w:szCs w:val="20"/>
          <w:color w:val="auto"/>
        </w:rPr>
      </w:pPr>
      <w:r>
        <w:rPr>
          <w:rFonts w:ascii="Times New Roman" w:cs="Times New Roman" w:eastAsia="Times New Roman" w:hAnsi="Times New Roman"/>
          <w:sz w:val="18"/>
          <w:szCs w:val="18"/>
          <w:b w:val="1"/>
          <w:bCs w:val="1"/>
          <w:color w:val="auto"/>
        </w:rPr>
        <w:t>Number of RSUs to be granted</w:t>
      </w:r>
      <w:r>
        <w:rPr>
          <w:sz w:val="20"/>
          <w:szCs w:val="20"/>
          <w:color w:val="auto"/>
        </w:rPr>
        <w:tab/>
      </w:r>
      <w:r>
        <w:rPr>
          <w:rFonts w:ascii="Times New Roman" w:cs="Times New Roman" w:eastAsia="Times New Roman" w:hAnsi="Times New Roman"/>
          <w:sz w:val="18"/>
          <w:szCs w:val="18"/>
          <w:color w:val="auto"/>
        </w:rPr>
        <w:t>The number of RSUs to be issued to each non-executive director will be calculated using the following formula (rounded down to the nearest whole share):</w:t>
      </w:r>
    </w:p>
    <w:p>
      <w:pPr>
        <w:spacing w:after="0" w:line="71" w:lineRule="exact"/>
        <w:rPr>
          <w:sz w:val="20"/>
          <w:szCs w:val="20"/>
          <w:color w:val="auto"/>
        </w:rPr>
      </w:pPr>
    </w:p>
    <w:p>
      <w:pPr>
        <w:jc w:val="right"/>
        <w:ind w:right="3140"/>
        <w:spacing w:after="0"/>
        <w:rPr>
          <w:sz w:val="20"/>
          <w:szCs w:val="20"/>
          <w:color w:val="auto"/>
        </w:rPr>
      </w:pPr>
      <w:r>
        <w:rPr>
          <w:rFonts w:ascii="Times New Roman" w:cs="Times New Roman" w:eastAsia="Times New Roman" w:hAnsi="Times New Roman"/>
          <w:sz w:val="18"/>
          <w:szCs w:val="18"/>
          <w:color w:val="auto"/>
        </w:rPr>
        <w:t xml:space="preserve">            RSU Value 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-7620</wp:posOffset>
            </wp:positionV>
            <wp:extent cx="14249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7" w:lineRule="exact"/>
        <w:rPr>
          <w:sz w:val="20"/>
          <w:szCs w:val="20"/>
          <w:color w:val="auto"/>
        </w:rPr>
      </w:pPr>
    </w:p>
    <w:p>
      <w:pPr>
        <w:jc w:val="right"/>
        <w:ind w:right="3120"/>
        <w:spacing w:after="0"/>
        <w:rPr>
          <w:sz w:val="20"/>
          <w:szCs w:val="20"/>
          <w:color w:val="auto"/>
        </w:rPr>
      </w:pPr>
      <w:r>
        <w:rPr>
          <w:rFonts w:ascii="Times New Roman" w:cs="Times New Roman" w:eastAsia="Times New Roman" w:hAnsi="Times New Roman"/>
          <w:sz w:val="18"/>
          <w:szCs w:val="18"/>
          <w:color w:val="auto"/>
        </w:rPr>
        <w:t>Annual Meeting Date FMV</w:t>
      </w:r>
    </w:p>
    <w:p>
      <w:pPr>
        <w:spacing w:after="0" w:line="112" w:lineRule="exact"/>
        <w:rPr>
          <w:sz w:val="20"/>
          <w:szCs w:val="20"/>
          <w:color w:val="auto"/>
        </w:rPr>
      </w:pPr>
    </w:p>
    <w:p>
      <w:pPr>
        <w:ind w:left="2860" w:right="60"/>
        <w:spacing w:after="0" w:line="255" w:lineRule="auto"/>
        <w:rPr>
          <w:sz w:val="20"/>
          <w:szCs w:val="20"/>
          <w:color w:val="auto"/>
        </w:rPr>
      </w:pPr>
      <w:r>
        <w:rPr>
          <w:rFonts w:ascii="Times New Roman" w:cs="Times New Roman" w:eastAsia="Times New Roman" w:hAnsi="Times New Roman"/>
          <w:sz w:val="18"/>
          <w:szCs w:val="18"/>
          <w:color w:val="auto"/>
        </w:rPr>
        <w:t>The Annual Meeting Date FMV shall be equal to the calculated U.S. Dollar equivalent of one share of common stock on the Annual Meeting Date or, if our securities are not traded on such day, the calculated U.S. Dollar equivalent of one share of common stock on the last business day prior to the Annual Meeting Date, as calculated by (i) multiplying the closing price of the CDIs on such day by the CDI/share of common stock ratio (3) and (ii) taking into account the exchange rate for the U.S. Dollar to the Australian Dollar as published in the Wall Street Journal on the Annual Meeting Date or, if there is no exchange rate for such date, the last exchange rate published prior to the Annual Meeting Date.</w:t>
      </w:r>
    </w:p>
    <w:p>
      <w:pPr>
        <w:spacing w:after="0" w:line="333"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3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The below table is indicative only and illustrates the value that may be attributed to the RSUs (assuming</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US$100,000 RSUs are granted) based on different Meeting Date FMVs calculated by the Company:</w:t>
      </w:r>
    </w:p>
    <w:p>
      <w:pPr>
        <w:spacing w:after="0" w:line="119" w:lineRule="exact"/>
        <w:rPr>
          <w:sz w:val="20"/>
          <w:szCs w:val="20"/>
          <w:color w:val="auto"/>
        </w:rPr>
      </w:pPr>
    </w:p>
    <w:p>
      <w:pPr>
        <w:ind w:left="8760"/>
        <w:spacing w:after="0"/>
        <w:rPr>
          <w:sz w:val="20"/>
          <w:szCs w:val="20"/>
          <w:color w:val="auto"/>
        </w:rPr>
      </w:pPr>
      <w:r>
        <w:rPr>
          <w:rFonts w:ascii="Times New Roman" w:cs="Times New Roman" w:eastAsia="Times New Roman" w:hAnsi="Times New Roman"/>
          <w:sz w:val="14"/>
          <w:szCs w:val="14"/>
          <w:b w:val="1"/>
          <w:bCs w:val="1"/>
          <w:color w:val="auto"/>
        </w:rPr>
        <w:t>RSUs</w:t>
      </w:r>
    </w:p>
    <w:p>
      <w:pPr>
        <w:sectPr>
          <w:pgSz w:w="11900" w:h="16838" w:orient="portrait"/>
          <w:cols w:equalWidth="0" w:num="1">
            <w:col w:w="11120"/>
          </w:cols>
          <w:pgMar w:left="320" w:top="482" w:right="459" w:bottom="1440" w:gutter="0" w:footer="0" w:header="0"/>
        </w:sectPr>
      </w:pPr>
    </w:p>
    <w:p>
      <w:pPr>
        <w:spacing w:after="0" w:line="2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Based on a Meeting Date FMV of US$23.01</w:t>
      </w:r>
      <w:r>
        <w:rPr>
          <w:rFonts w:ascii="Times New Roman" w:cs="Times New Roman" w:eastAsia="Times New Roman" w:hAnsi="Times New Roman"/>
          <w:sz w:val="12"/>
          <w:szCs w:val="12"/>
          <w:color w:val="auto"/>
        </w:rPr>
        <w:t>(1)</w:t>
      </w:r>
    </w:p>
    <w:p>
      <w:pPr>
        <w:spacing w:after="0" w:line="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Based on a Meeting Date FMV of US$26.00</w:t>
      </w:r>
      <w:r>
        <w:rPr>
          <w:rFonts w:ascii="Times New Roman" w:cs="Times New Roman" w:eastAsia="Times New Roman" w:hAnsi="Times New Roman"/>
          <w:sz w:val="12"/>
          <w:szCs w:val="12"/>
          <w:color w:val="auto"/>
        </w:rPr>
        <w:t>(2)</w:t>
      </w:r>
    </w:p>
    <w:p>
      <w:pPr>
        <w:spacing w:after="0" w:line="2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Based on a Meeting Date FMV of US$29.01</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4,345 RSUs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3,846 RSUs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3,447 RSUs</w:t>
      </w:r>
    </w:p>
    <w:p>
      <w:pPr>
        <w:spacing w:after="0" w:line="110" w:lineRule="exact"/>
        <w:rPr>
          <w:sz w:val="20"/>
          <w:szCs w:val="20"/>
          <w:color w:val="auto"/>
        </w:rPr>
      </w:pPr>
    </w:p>
    <w:p>
      <w:pPr>
        <w:sectPr>
          <w:pgSz w:w="11900" w:h="16838" w:orient="portrait"/>
          <w:cols w:equalWidth="0" w:num="2">
            <w:col w:w="9220" w:space="720"/>
            <w:col w:w="1180"/>
          </w:cols>
          <w:pgMar w:left="320" w:top="482" w:right="459" w:bottom="1440" w:gutter="0" w:footer="0" w:header="0"/>
          <w:type w:val="continuous"/>
        </w:sectPr>
      </w:pPr>
    </w:p>
    <w:p>
      <w:pPr>
        <w:ind w:left="3220" w:right="480" w:hanging="359"/>
        <w:spacing w:after="0" w:line="282" w:lineRule="auto"/>
        <w:rPr>
          <w:sz w:val="20"/>
          <w:szCs w:val="20"/>
          <w:color w:val="auto"/>
        </w:rPr>
      </w:pPr>
      <w:r>
        <w:rPr>
          <w:rFonts w:ascii="Times New Roman" w:cs="Times New Roman" w:eastAsia="Times New Roman" w:hAnsi="Times New Roman"/>
          <w:sz w:val="18"/>
          <w:szCs w:val="18"/>
          <w:color w:val="auto"/>
        </w:rPr>
        <w:t>(1)    Rounded to the nearest whole cent and assuming a closing price of A$11.62, CDI/share ratio of 3:1 and exchange rate of A$1:US$0.66.</w:t>
      </w:r>
    </w:p>
    <w:p>
      <w:pPr>
        <w:spacing w:after="0" w:line="67" w:lineRule="exact"/>
        <w:rPr>
          <w:sz w:val="20"/>
          <w:szCs w:val="20"/>
          <w:color w:val="auto"/>
        </w:rPr>
      </w:pPr>
    </w:p>
    <w:p>
      <w:pPr>
        <w:ind w:left="3220" w:right="460" w:hanging="359"/>
        <w:spacing w:after="0" w:line="282" w:lineRule="auto"/>
        <w:rPr>
          <w:sz w:val="20"/>
          <w:szCs w:val="20"/>
          <w:color w:val="auto"/>
        </w:rPr>
      </w:pPr>
      <w:r>
        <w:rPr>
          <w:rFonts w:ascii="Times New Roman" w:cs="Times New Roman" w:eastAsia="Times New Roman" w:hAnsi="Times New Roman"/>
          <w:sz w:val="18"/>
          <w:szCs w:val="18"/>
          <w:color w:val="auto"/>
        </w:rPr>
        <w:t>(2)    Rounded to the nearest whole cent and assuming a closing price of A$13.13, CDI/share ratio of 3:1 and exchange rate of A$1:US$0.66.</w:t>
      </w:r>
    </w:p>
    <w:p>
      <w:pPr>
        <w:spacing w:after="0" w:line="67" w:lineRule="exact"/>
        <w:rPr>
          <w:sz w:val="20"/>
          <w:szCs w:val="20"/>
          <w:color w:val="auto"/>
        </w:rPr>
      </w:pPr>
    </w:p>
    <w:p>
      <w:pPr>
        <w:ind w:left="3220" w:right="460" w:hanging="359"/>
        <w:spacing w:after="0" w:line="282" w:lineRule="auto"/>
        <w:rPr>
          <w:sz w:val="20"/>
          <w:szCs w:val="20"/>
          <w:color w:val="auto"/>
        </w:rPr>
      </w:pPr>
      <w:r>
        <w:rPr>
          <w:rFonts w:ascii="Times New Roman" w:cs="Times New Roman" w:eastAsia="Times New Roman" w:hAnsi="Times New Roman"/>
          <w:sz w:val="18"/>
          <w:szCs w:val="18"/>
          <w:color w:val="auto"/>
        </w:rPr>
        <w:t>(3)    Rounded to the nearest whole cent and assuming a closing price of A$14.65, CDI/share ratio of 3:1 and exchange rate of A$1:US$0.66.</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60" w:type="dxa"/>
            <w:vAlign w:val="bottom"/>
          </w:tcPr>
          <w:p>
            <w:pPr>
              <w:spacing w:after="0"/>
              <w:rPr>
                <w:sz w:val="17"/>
                <w:szCs w:val="17"/>
                <w:color w:val="auto"/>
              </w:rPr>
            </w:pPr>
          </w:p>
        </w:tc>
      </w:tr>
      <w:tr>
        <w:trPr>
          <w:trHeight w:val="511"/>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total remuneration</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Philip Coghlan</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membership of the Audit &amp; Risk Management</w:t>
            </w:r>
          </w:p>
        </w:tc>
      </w:tr>
      <w:tr>
        <w:trPr>
          <w:trHeight w:val="216"/>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package for the period ending</w:t>
            </w: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w w:val="99"/>
              </w:rPr>
              <w:t>Committee and Remuneration &amp; Nomination Committee): US$143,000 cash</w:t>
            </w:r>
          </w:p>
        </w:tc>
      </w:tr>
      <w:tr>
        <w:trPr>
          <w:trHeight w:val="216"/>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May 15, 2024 and value of the</w:t>
            </w: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(inclusive of $87,500 for serving on the Special Committee (as defined</w:t>
            </w:r>
          </w:p>
        </w:tc>
      </w:tr>
      <w:tr>
        <w:trPr>
          <w:trHeight w:val="220"/>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2200" w:type="dxa"/>
            <w:vAlign w:val="bottom"/>
          </w:tcPr>
          <w:p>
            <w:pPr>
              <w:spacing w:after="0"/>
              <w:rPr>
                <w:sz w:val="19"/>
                <w:szCs w:val="19"/>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below)) and RSUs with a value of US$154,000, the subject of this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Brittany Morin</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membership of the Remuneration &amp; Nomination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US$39,000 cash; and RSUs with a value of US$125,000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James Synge</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membership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US$38,500 cash; and RSUs with a value of US$125,500,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 Goines</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Chair of the Remuneration &amp; Nomination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US$135,000 cash (inclusive of $95,000 for serving as chair of</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the Special Committee); and RSUs with a value of US$127,000, the subject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David Wiadrowski</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Chair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US$127,500 cash (inclusive of $87,500 for serving on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Special Committee); and RSUs with a value of $135,000, the subject of this</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Randi Zuckerberg</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(including membership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Committee): US$126,000 cash (inclusive of $87,500 for serving on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Special Committee); and RSUs with a value of US$125,500, the subject of</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Alex Haro</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US$35,000 cash; and RSUs with a value of US$120,000, the</w:t>
            </w:r>
          </w:p>
        </w:tc>
      </w:tr>
      <w:tr>
        <w:trPr>
          <w:trHeight w:val="234"/>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subject of this stockholder approval.</w:t>
            </w:r>
          </w:p>
        </w:tc>
      </w:tr>
      <w:tr>
        <w:trPr>
          <w:trHeight w:val="306"/>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Charles Prober</w:t>
            </w: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Director Fees: US$35,000 cash; and RSUs with a value of US$120,000, the</w:t>
            </w:r>
          </w:p>
        </w:tc>
      </w:tr>
      <w:tr>
        <w:trPr>
          <w:trHeight w:val="234"/>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0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subject of this stockholder approval.</w:t>
            </w:r>
          </w:p>
        </w:tc>
      </w:tr>
      <w:tr>
        <w:trPr>
          <w:trHeight w:val="302"/>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Number of securities previously</w:t>
            </w:r>
          </w:p>
        </w:tc>
        <w:tc>
          <w:tcPr>
            <w:tcW w:w="2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John Philip Coghlan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 June 28, 2012: 16,000 options with an exercise price of US$0.38 per</w:t>
            </w:r>
          </w:p>
        </w:tc>
      </w:tr>
      <w:tr>
        <w:trPr>
          <w:trHeight w:val="238"/>
        </w:trPr>
        <w:tc>
          <w:tcPr>
            <w:tcW w:w="27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granted under the Stock Plan</w:t>
            </w: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June 28, 2022.*</w:t>
            </w:r>
          </w:p>
        </w:tc>
      </w:tr>
      <w:tr>
        <w:trPr>
          <w:trHeight w:val="319"/>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17, 2015: 31,938 options with an exercise price of US$1.12 per</w:t>
            </w:r>
          </w:p>
        </w:tc>
      </w:tr>
      <w:tr>
        <w:trPr>
          <w:trHeight w:val="234"/>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April 17, 2025.**</w:t>
            </w:r>
          </w:p>
        </w:tc>
      </w:tr>
      <w:tr>
        <w:trPr>
          <w:trHeight w:val="319"/>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 June 30, 2016: 47,938 options with an exercise price of US$0.18 per</w:t>
            </w:r>
          </w:p>
        </w:tc>
      </w:tr>
      <w:tr>
        <w:trPr>
          <w:trHeight w:val="234"/>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June 27, 2026.</w:t>
            </w:r>
          </w:p>
        </w:tc>
      </w:tr>
      <w:tr>
        <w:trPr>
          <w:trHeight w:val="37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2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320" w:top="473"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1120"/>
          </w:cols>
          <w:pgMar w:left="320" w:top="482" w:right="459" w:bottom="1440" w:gutter="0" w:footer="0" w:header="0"/>
        </w:sectPr>
      </w:pPr>
    </w:p>
    <w:p>
      <w:pPr>
        <w:spacing w:after="0" w:line="3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60" w:hanging="26"/>
        <w:spacing w:after="0" w:line="282" w:lineRule="auto"/>
        <w:rPr>
          <w:sz w:val="20"/>
          <w:szCs w:val="20"/>
          <w:color w:val="auto"/>
        </w:rPr>
      </w:pPr>
      <w:r>
        <w:rPr>
          <w:rFonts w:ascii="Times New Roman" w:cs="Times New Roman" w:eastAsia="Times New Roman" w:hAnsi="Times New Roman"/>
          <w:sz w:val="18"/>
          <w:szCs w:val="18"/>
          <w:color w:val="auto"/>
        </w:rPr>
        <w:t> October 24, 2017: 143,226 options with an exercise price of US$2.15 per share and an expiry date of October 24, 2027.</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180" w:hanging="26"/>
        <w:spacing w:after="0" w:line="282" w:lineRule="auto"/>
        <w:rPr>
          <w:sz w:val="20"/>
          <w:szCs w:val="20"/>
          <w:color w:val="auto"/>
        </w:rPr>
      </w:pPr>
      <w:r>
        <w:rPr>
          <w:rFonts w:ascii="Times New Roman" w:cs="Times New Roman" w:eastAsia="Times New Roman" w:hAnsi="Times New Roman"/>
          <w:sz w:val="18"/>
          <w:szCs w:val="18"/>
          <w:color w:val="auto"/>
        </w:rPr>
        <w:t> March 14, 2019: 48,946 options with an exercise price of US$6.28 per share and an expiry date of March 14, 2029.</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200" w:hanging="26"/>
        <w:spacing w:after="0" w:line="282" w:lineRule="auto"/>
        <w:rPr>
          <w:sz w:val="20"/>
          <w:szCs w:val="20"/>
          <w:color w:val="auto"/>
        </w:rPr>
      </w:pPr>
      <w:r>
        <w:rPr>
          <w:rFonts w:ascii="Times New Roman" w:cs="Times New Roman" w:eastAsia="Times New Roman" w:hAnsi="Times New Roman"/>
          <w:sz w:val="18"/>
          <w:szCs w:val="18"/>
          <w:color w:val="auto"/>
        </w:rPr>
        <w:t> May 11, 2019: 368 RSUs with a fair market value at grant of US$9.47 per share and fully vested as of May 14, 2020.</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hanging="26"/>
        <w:spacing w:after="0" w:line="282" w:lineRule="auto"/>
        <w:rPr>
          <w:sz w:val="20"/>
          <w:szCs w:val="20"/>
          <w:color w:val="auto"/>
        </w:rPr>
      </w:pPr>
      <w:r>
        <w:rPr>
          <w:rFonts w:ascii="Times New Roman" w:cs="Times New Roman" w:eastAsia="Times New Roman" w:hAnsi="Times New Roman"/>
          <w:sz w:val="18"/>
          <w:szCs w:val="18"/>
          <w:color w:val="auto"/>
        </w:rPr>
        <w:t> July 30, 2020: 12,039 RSUs with a fair market value at grant of US$7.27 per share and fully vested as of May 15, 2021.</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560" w:hanging="26"/>
        <w:spacing w:after="0" w:line="266" w:lineRule="auto"/>
        <w:rPr>
          <w:sz w:val="20"/>
          <w:szCs w:val="20"/>
          <w:color w:val="auto"/>
        </w:rPr>
      </w:pPr>
      <w:r>
        <w:rPr>
          <w:rFonts w:ascii="Times New Roman" w:cs="Times New Roman" w:eastAsia="Times New Roman" w:hAnsi="Times New Roman"/>
          <w:sz w:val="18"/>
          <w:szCs w:val="18"/>
          <w:color w:val="auto"/>
        </w:rPr>
        <w:t> April 29, 2021: 2,330 RSUs with a fair market value at grant of US$13.35 per share and 15,119 Options with an exercise price of US$13.35 and an expiry date of April 29, 2027.</w:t>
      </w:r>
    </w:p>
    <w:p>
      <w:pPr>
        <w:spacing w:after="0" w:line="81"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both"/>
        <w:ind w:right="60" w:hanging="26"/>
        <w:spacing w:after="0" w:line="266" w:lineRule="auto"/>
        <w:rPr>
          <w:sz w:val="20"/>
          <w:szCs w:val="20"/>
          <w:color w:val="auto"/>
        </w:rPr>
      </w:pPr>
      <w:r>
        <w:rPr>
          <w:rFonts w:ascii="Times New Roman" w:cs="Times New Roman" w:eastAsia="Times New Roman" w:hAnsi="Times New Roman"/>
          <w:sz w:val="18"/>
          <w:szCs w:val="18"/>
          <w:color w:val="auto"/>
        </w:rPr>
        <w:t> May 20, 2022: 5,424 RSUs with a fair market value at grant of US$8.19 per share and 25,775 options with an exercise price of US$8.19 and an expiry date of May 20, 2028.</w:t>
      </w:r>
    </w:p>
    <w:p>
      <w:pPr>
        <w:spacing w:after="0" w:line="81"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660" w:hanging="26"/>
        <w:spacing w:after="0" w:line="282" w:lineRule="auto"/>
        <w:rPr>
          <w:sz w:val="20"/>
          <w:szCs w:val="20"/>
          <w:color w:val="auto"/>
        </w:rPr>
      </w:pPr>
      <w:r>
        <w:rPr>
          <w:rFonts w:ascii="Times New Roman" w:cs="Times New Roman" w:eastAsia="Times New Roman" w:hAnsi="Times New Roman"/>
          <w:sz w:val="18"/>
          <w:szCs w:val="18"/>
          <w:color w:val="auto"/>
        </w:rPr>
        <w:t> May 30, 2023: 11,667 RSUs with a fair market value at grant of US$13.18 per share.</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This grant was subsequently cancelled and is not currently outstanding.</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shares subject to the grant were exercised.</w:t>
      </w:r>
    </w:p>
    <w:p>
      <w:pPr>
        <w:spacing w:after="0" w:line="112" w:lineRule="exact"/>
        <w:rPr>
          <w:sz w:val="20"/>
          <w:szCs w:val="20"/>
          <w:color w:val="auto"/>
        </w:rPr>
      </w:pPr>
    </w:p>
    <w:p>
      <w:pPr>
        <w:sectPr>
          <w:pgSz w:w="11900" w:h="16838" w:orient="portrait"/>
          <w:cols w:equalWidth="0" w:num="2">
            <w:col w:w="5660" w:space="120"/>
            <w:col w:w="5340"/>
          </w:cols>
          <w:pgMar w:left="320" w:top="482" w:right="45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    Options exercisable for 31,938 shares from this grant subsequently</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expired and are not currently outstanding.</w:t>
      </w:r>
    </w:p>
    <w:p>
      <w:pPr>
        <w:spacing w:after="0" w:line="1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ectPr>
          <w:pgSz w:w="11900" w:h="16838" w:orient="portrait"/>
          <w:cols w:equalWidth="0" w:num="1">
            <w:col w:w="11120"/>
          </w:cols>
          <w:pgMar w:left="320" w:top="482" w:right="459" w:bottom="1440" w:gutter="0" w:footer="0" w:header="0"/>
          <w:type w:val="continuous"/>
        </w:sectPr>
      </w:pPr>
    </w:p>
    <w:p>
      <w:pPr>
        <w:spacing w:after="0" w:line="1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Brittany Morin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00" w:hanging="26"/>
        <w:spacing w:after="0" w:line="282" w:lineRule="auto"/>
        <w:rPr>
          <w:sz w:val="20"/>
          <w:szCs w:val="20"/>
          <w:color w:val="auto"/>
        </w:rPr>
      </w:pPr>
      <w:r>
        <w:rPr>
          <w:rFonts w:ascii="Times New Roman" w:cs="Times New Roman" w:eastAsia="Times New Roman" w:hAnsi="Times New Roman"/>
          <w:sz w:val="18"/>
          <w:szCs w:val="18"/>
          <w:color w:val="auto"/>
        </w:rPr>
        <w:t> January 24, 2018: 93,947 options with an exercise price of US$2.15 per share, and an expiry date of January 24, 2028.</w:t>
      </w:r>
    </w:p>
    <w:p>
      <w:pPr>
        <w:spacing w:after="0" w:line="67" w:lineRule="exact"/>
        <w:rPr>
          <w:sz w:val="20"/>
          <w:szCs w:val="20"/>
          <w:color w:val="auto"/>
        </w:rPr>
      </w:pPr>
    </w:p>
    <w:p>
      <w:pPr>
        <w:sectPr>
          <w:pgSz w:w="11900" w:h="16838" w:orient="portrait"/>
          <w:cols w:equalWidth="0" w:num="3">
            <w:col w:w="4880" w:space="720"/>
            <w:col w:w="1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hanging="26"/>
        <w:spacing w:after="0" w:line="282" w:lineRule="auto"/>
        <w:rPr>
          <w:sz w:val="20"/>
          <w:szCs w:val="20"/>
          <w:color w:val="auto"/>
        </w:rPr>
      </w:pPr>
      <w:r>
        <w:rPr>
          <w:rFonts w:ascii="Times New Roman" w:cs="Times New Roman" w:eastAsia="Times New Roman" w:hAnsi="Times New Roman"/>
          <w:sz w:val="18"/>
          <w:szCs w:val="18"/>
          <w:color w:val="auto"/>
        </w:rPr>
        <w:t> July 30, 2020: 11,331 RSUs with a fair market value at grant of US$7.27 per share and fully vested as of May 15, 2021.</w:t>
      </w:r>
    </w:p>
    <w:p>
      <w:pPr>
        <w:spacing w:after="0" w:line="67"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560" w:hanging="26"/>
        <w:spacing w:after="0" w:line="266" w:lineRule="auto"/>
        <w:rPr>
          <w:sz w:val="20"/>
          <w:szCs w:val="20"/>
          <w:color w:val="auto"/>
        </w:rPr>
      </w:pPr>
      <w:r>
        <w:rPr>
          <w:rFonts w:ascii="Times New Roman" w:cs="Times New Roman" w:eastAsia="Times New Roman" w:hAnsi="Times New Roman"/>
          <w:sz w:val="18"/>
          <w:szCs w:val="18"/>
          <w:color w:val="auto"/>
        </w:rPr>
        <w:t> April 29, 2021: 1,798 RSUs with a fair market value at grant of US$13.35 per share and 11,663 Options with an exercise price of US$13.35 and an expiry date of April 29, 2027.</w:t>
      </w:r>
    </w:p>
    <w:p>
      <w:pPr>
        <w:spacing w:after="0" w:line="81"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both"/>
        <w:ind w:right="60" w:hanging="26"/>
        <w:spacing w:after="0" w:line="266" w:lineRule="auto"/>
        <w:rPr>
          <w:sz w:val="20"/>
          <w:szCs w:val="20"/>
          <w:color w:val="auto"/>
        </w:rPr>
      </w:pPr>
      <w:r>
        <w:rPr>
          <w:rFonts w:ascii="Times New Roman" w:cs="Times New Roman" w:eastAsia="Times New Roman" w:hAnsi="Times New Roman"/>
          <w:sz w:val="18"/>
          <w:szCs w:val="18"/>
          <w:color w:val="auto"/>
        </w:rPr>
        <w:t> May 20, 2022: 4,507 RSUs with a fair market value at grant of US$8.19 per share and 21,421 options with an exercise price of US$8.19 and an expiry date of May 20, 2028.</w:t>
      </w:r>
    </w:p>
    <w:p>
      <w:pPr>
        <w:spacing w:after="0" w:line="81"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740" w:hanging="26"/>
        <w:spacing w:after="0" w:line="282" w:lineRule="auto"/>
        <w:rPr>
          <w:sz w:val="20"/>
          <w:szCs w:val="20"/>
          <w:color w:val="auto"/>
        </w:rPr>
      </w:pPr>
      <w:r>
        <w:rPr>
          <w:rFonts w:ascii="Times New Roman" w:cs="Times New Roman" w:eastAsia="Times New Roman" w:hAnsi="Times New Roman"/>
          <w:sz w:val="18"/>
          <w:szCs w:val="18"/>
          <w:color w:val="auto"/>
        </w:rPr>
        <w:t> May 30, 2023: 9,470 RSUs with a fair market value at grant of US$13.18 per share.</w:t>
      </w:r>
    </w:p>
    <w:p>
      <w:pPr>
        <w:spacing w:after="0" w:line="108" w:lineRule="exact"/>
        <w:rPr>
          <w:sz w:val="20"/>
          <w:szCs w:val="20"/>
          <w:color w:val="auto"/>
        </w:rPr>
      </w:pPr>
    </w:p>
    <w:p>
      <w:pPr>
        <w:sectPr>
          <w:pgSz w:w="11900" w:h="16838" w:orient="portrait"/>
          <w:cols w:equalWidth="0" w:num="2">
            <w:col w:w="5720" w:space="160"/>
            <w:col w:w="5240"/>
          </w:cols>
          <w:pgMar w:left="320" w:top="482"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300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6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tc>
      </w:tr>
      <w:tr>
        <w:trPr>
          <w:trHeight w:val="30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James Synge</w:t>
            </w: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 May 11, 2019: 6,250 RSUs with a fair market value at grant of US$9.47</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14, 2020.</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 July 30, 2020: 8,756 RSUs with a fair market value at grant of US$7.27</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15, 2021.</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29, 2021: 1,881 RSUs with a fair market value at grant of</w:t>
            </w:r>
          </w:p>
        </w:tc>
      </w:tr>
      <w:tr>
        <w:trPr>
          <w:trHeight w:val="216"/>
        </w:trPr>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per share and 12,203 options with an exercise price of</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and an expiry date of April 29, 2027.</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 May 20, 2022: 4,581 RSUs with a fair market value at grant of US$8.19</w:t>
            </w:r>
          </w:p>
        </w:tc>
      </w:tr>
      <w:tr>
        <w:trPr>
          <w:trHeight w:val="216"/>
        </w:trPr>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21,769 options with an exercise price of US$8.19 and an</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May 20, 2028.</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30, 2023: 9,508 RSUs with a fair market value at grant of</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US$13.18 per share.</w:t>
            </w:r>
          </w:p>
        </w:tc>
      </w:tr>
      <w:tr>
        <w:trPr>
          <w:trHeight w:val="338"/>
        </w:trPr>
        <w:tc>
          <w:tcPr>
            <w:tcW w:w="1720" w:type="dxa"/>
            <w:vAlign w:val="bottom"/>
          </w:tcPr>
          <w:p>
            <w:pPr>
              <w:spacing w:after="0"/>
              <w:rPr>
                <w:sz w:val="24"/>
                <w:szCs w:val="24"/>
                <w:color w:val="auto"/>
              </w:rPr>
            </w:pPr>
          </w:p>
        </w:tc>
        <w:tc>
          <w:tcPr>
            <w:tcW w:w="63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tc>
      </w:tr>
      <w:tr>
        <w:trPr>
          <w:trHeight w:val="319"/>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Mark Goines</w:t>
            </w: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 June 28, 2012: 32,000 options with an exercise price of US$0.38 and an</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June 28, 2022.</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 May 11, 2019: 6,005 RSUs with a fair market value at grant of US$9.47</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14, 2020.</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 July 30, 2020: 8,413 RSUs with a fair market value at grant of US$7.27</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15, 2021.</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29, 2021: 1,865 RSUs with a fair market value at grant of</w:t>
            </w:r>
          </w:p>
        </w:tc>
      </w:tr>
      <w:tr>
        <w:trPr>
          <w:trHeight w:val="216"/>
        </w:trPr>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per share and 12,101 options with an exercise price of</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and an expiry date of April 29, 2027.</w:t>
            </w:r>
          </w:p>
        </w:tc>
      </w:tr>
      <w:tr>
        <w:trPr>
          <w:trHeight w:val="319"/>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 May 20, 2022: 4,617 RSUs with a fair market value at grant of US$8.19</w:t>
            </w:r>
          </w:p>
        </w:tc>
      </w:tr>
      <w:tr>
        <w:trPr>
          <w:trHeight w:val="216"/>
        </w:trPr>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21,944 options with an exercise price of US$8.19 and an</w:t>
            </w:r>
          </w:p>
        </w:tc>
      </w:tr>
      <w:tr>
        <w:trPr>
          <w:trHeight w:val="234"/>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May 20, 2028.</w:t>
            </w:r>
          </w:p>
        </w:tc>
      </w:tr>
      <w:tr>
        <w:trPr>
          <w:trHeight w:val="338"/>
        </w:trPr>
        <w:tc>
          <w:tcPr>
            <w:tcW w:w="1720" w:type="dxa"/>
            <w:vAlign w:val="bottom"/>
          </w:tcPr>
          <w:p>
            <w:pPr>
              <w:spacing w:after="0"/>
              <w:rPr>
                <w:sz w:val="24"/>
                <w:szCs w:val="24"/>
                <w:color w:val="auto"/>
              </w:rPr>
            </w:pPr>
          </w:p>
        </w:tc>
        <w:tc>
          <w:tcPr>
            <w:tcW w:w="1060" w:type="dxa"/>
            <w:vAlign w:val="bottom"/>
          </w:tcPr>
          <w:p>
            <w:pPr>
              <w:ind w:left="880"/>
              <w:spacing w:after="0"/>
              <w:rPr>
                <w:sz w:val="20"/>
                <w:szCs w:val="20"/>
                <w:color w:val="auto"/>
              </w:rPr>
            </w:pPr>
            <w:r>
              <w:rPr>
                <w:rFonts w:ascii="Times New Roman" w:cs="Times New Roman" w:eastAsia="Times New Roman" w:hAnsi="Times New Roman"/>
                <w:sz w:val="16"/>
                <w:szCs w:val="16"/>
                <w:color w:val="auto"/>
                <w:w w:val="73"/>
              </w:rPr>
              <w:t>• </w:t>
            </w: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30, 2023: 9,622 RSUs with a fair market value at grant of</w:t>
            </w:r>
          </w:p>
        </w:tc>
      </w:tr>
    </w:tbl>
    <w:p>
      <w:pPr>
        <w:ind w:left="5880"/>
        <w:spacing w:after="0"/>
        <w:rPr>
          <w:sz w:val="20"/>
          <w:szCs w:val="20"/>
          <w:color w:val="auto"/>
        </w:rPr>
      </w:pPr>
      <w:r>
        <w:rPr>
          <w:rFonts w:ascii="Times New Roman" w:cs="Times New Roman" w:eastAsia="Times New Roman" w:hAnsi="Times New Roman"/>
          <w:sz w:val="18"/>
          <w:szCs w:val="18"/>
          <w:color w:val="auto"/>
        </w:rPr>
        <w:t>US$13.18 per share.</w:t>
      </w:r>
    </w:p>
    <w:p>
      <w:pPr>
        <w:spacing w:after="0" w:line="1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pacing w:after="0" w:line="1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82"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11, 2019: 7,353 RSUs with a fair market value at grant of US$9.47</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14, 2020.</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 July 30, 2020: 10,302 RSUs with a fair market value at grant of US$7.27</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fully vested as of May 15, 2021.</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29, 2021: 2,135 RSUs with a fair market value at grant of</w:t>
            </w:r>
          </w:p>
        </w:tc>
      </w:tr>
      <w:tr>
        <w:trPr>
          <w:trHeight w:val="216"/>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per share and 13,850 options with an exercise price of</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and an expiry date of April 29, 2027.</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20, 2022: 4,947 RSUs with a fair market value at grant of US$8.19</w:t>
            </w:r>
          </w:p>
        </w:tc>
      </w:tr>
      <w:tr>
        <w:trPr>
          <w:trHeight w:val="216"/>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23,511 options with an exercise price of US$8.19 and an</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May 20, 2028.</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30, 2023: 10,228 RSUs fair market value at grant of US$13.18 per</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w:t>
            </w:r>
          </w:p>
        </w:tc>
      </w:tr>
      <w:tr>
        <w:trPr>
          <w:trHeight w:val="338"/>
        </w:trPr>
        <w:tc>
          <w:tcPr>
            <w:tcW w:w="1940" w:type="dxa"/>
            <w:vAlign w:val="bottom"/>
          </w:tcPr>
          <w:p>
            <w:pPr>
              <w:spacing w:after="0"/>
              <w:rPr>
                <w:sz w:val="24"/>
                <w:szCs w:val="24"/>
                <w:color w:val="auto"/>
              </w:rPr>
            </w:pPr>
          </w:p>
        </w:tc>
        <w:tc>
          <w:tcPr>
            <w:tcW w:w="6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tc>
      </w:tr>
      <w:tr>
        <w:trPr>
          <w:trHeight w:val="31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 April 29, 2021: 2,482 RSUs with a fair market value at grant of</w:t>
            </w:r>
          </w:p>
        </w:tc>
      </w:tr>
      <w:tr>
        <w:trPr>
          <w:trHeight w:val="216"/>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US$13.15 per share and 16,101 options with an exercise price of</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US$13.35 and an expiry date of April 29, 2027.</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20, 2022: 4,581 RSUs with a fair market value at grant of US$8.19</w:t>
            </w:r>
          </w:p>
        </w:tc>
      </w:tr>
      <w:tr>
        <w:trPr>
          <w:trHeight w:val="216"/>
        </w:trPr>
        <w:tc>
          <w:tcPr>
            <w:tcW w:w="1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21,769 options with an exercise price of US$8.19 and an</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expiry date of May 20, 2028.</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 May 30, 2023: 9,508 RSUs with a fair market value at grant of</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US$13.18 per share.</w:t>
            </w:r>
          </w:p>
        </w:tc>
      </w:tr>
      <w:tr>
        <w:trPr>
          <w:trHeight w:val="337"/>
        </w:trPr>
        <w:tc>
          <w:tcPr>
            <w:tcW w:w="1940" w:type="dxa"/>
            <w:vAlign w:val="bottom"/>
          </w:tcPr>
          <w:p>
            <w:pPr>
              <w:spacing w:after="0"/>
              <w:rPr>
                <w:sz w:val="24"/>
                <w:szCs w:val="24"/>
                <w:color w:val="auto"/>
              </w:rPr>
            </w:pPr>
          </w:p>
        </w:tc>
        <w:tc>
          <w:tcPr>
            <w:tcW w:w="6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tc>
      </w:tr>
      <w:tr>
        <w:trPr>
          <w:trHeight w:val="31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Alex Haro</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 December 17, 2012: 167,823 options with an exercise price of US$0.38</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expiry date of 16 December 17, 2022.*</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 October 31, 2013: 414,003 options with an exercise price of US$0.53</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an expiry date of October 31, 2023.*</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 August 11, 2014: 610,092 options with an exercise price of US$0.91 per</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August 11, 2024.*</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 August 11, 2014: 32,089 options with an exercise price of US$0.91 per</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and an expiry date of August 11, 2024.*</w:t>
            </w:r>
          </w:p>
        </w:tc>
      </w:tr>
      <w:tr>
        <w:trPr>
          <w:trHeight w:val="319"/>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 October 24, 2017: 167,189 options with an exercise price of US$2.15</w:t>
            </w:r>
          </w:p>
        </w:tc>
      </w:tr>
      <w:tr>
        <w:trPr>
          <w:trHeight w:val="234"/>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 share and an expiry date of October 24, 2027.**</w:t>
            </w:r>
          </w:p>
        </w:tc>
      </w:tr>
      <w:tr>
        <w:trPr>
          <w:trHeight w:val="378"/>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340" w:type="dxa"/>
            <w:vAlign w:val="bottom"/>
          </w:tcPr>
          <w:p>
            <w:pPr>
              <w:spacing w:after="0"/>
              <w:rPr>
                <w:sz w:val="24"/>
                <w:szCs w:val="24"/>
                <w:color w:val="auto"/>
              </w:rPr>
            </w:pPr>
          </w:p>
        </w:tc>
      </w:tr>
    </w:tbl>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080"/>
          </w:cols>
          <w:pgMar w:left="320" w:top="482" w:right="499" w:bottom="1440" w:gutter="0" w:footer="0" w:header="0"/>
        </w:sectPr>
      </w:pPr>
    </w:p>
    <w:p>
      <w:pPr>
        <w:spacing w:after="0" w:line="3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right="220" w:hanging="26"/>
        <w:spacing w:after="0" w:line="282" w:lineRule="auto"/>
        <w:rPr>
          <w:sz w:val="20"/>
          <w:szCs w:val="20"/>
          <w:color w:val="auto"/>
        </w:rPr>
      </w:pPr>
      <w:r>
        <w:rPr>
          <w:rFonts w:ascii="Times New Roman" w:cs="Times New Roman" w:eastAsia="Times New Roman" w:hAnsi="Times New Roman"/>
          <w:sz w:val="18"/>
          <w:szCs w:val="18"/>
          <w:color w:val="auto"/>
        </w:rPr>
        <w:t> July 16, 2018: 453,352 options with an exercise price of US$2.53 per share and an expiry date of July 16, 2028.**</w:t>
      </w:r>
    </w:p>
    <w:p>
      <w:pPr>
        <w:spacing w:after="0" w:line="67"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340" w:hanging="26"/>
        <w:spacing w:after="0" w:line="282" w:lineRule="auto"/>
        <w:rPr>
          <w:sz w:val="20"/>
          <w:szCs w:val="20"/>
          <w:color w:val="auto"/>
        </w:rPr>
      </w:pPr>
      <w:r>
        <w:rPr>
          <w:rFonts w:ascii="Times New Roman" w:cs="Times New Roman" w:eastAsia="Times New Roman" w:hAnsi="Times New Roman"/>
          <w:sz w:val="18"/>
          <w:szCs w:val="18"/>
          <w:color w:val="auto"/>
        </w:rPr>
        <w:t> October 30, 2018: 10 options with an exercise price of US$9.55 per share and an expiry date of October 30, 2028.**</w:t>
      </w:r>
    </w:p>
    <w:p>
      <w:pPr>
        <w:spacing w:after="0" w:line="67"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540" w:hanging="26"/>
        <w:spacing w:after="0" w:line="266" w:lineRule="auto"/>
        <w:rPr>
          <w:sz w:val="20"/>
          <w:szCs w:val="20"/>
          <w:color w:val="auto"/>
        </w:rPr>
      </w:pPr>
      <w:r>
        <w:rPr>
          <w:rFonts w:ascii="Times New Roman" w:cs="Times New Roman" w:eastAsia="Times New Roman" w:hAnsi="Times New Roman"/>
          <w:sz w:val="18"/>
          <w:szCs w:val="18"/>
          <w:color w:val="auto"/>
        </w:rPr>
        <w:t> April 29, 2021: 2,462 RSUs with a fair market value at grant of US$13.35 per share and 15,972 options with an exercise price of US$13.35 and an expiry date of April 29, 2027.</w:t>
      </w:r>
    </w:p>
    <w:p>
      <w:pPr>
        <w:spacing w:after="0" w:line="81"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jc w:val="both"/>
        <w:ind w:right="20" w:hanging="26"/>
        <w:spacing w:after="0" w:line="266" w:lineRule="auto"/>
        <w:rPr>
          <w:sz w:val="20"/>
          <w:szCs w:val="20"/>
          <w:color w:val="auto"/>
        </w:rPr>
      </w:pPr>
      <w:r>
        <w:rPr>
          <w:rFonts w:ascii="Times New Roman" w:cs="Times New Roman" w:eastAsia="Times New Roman" w:hAnsi="Times New Roman"/>
          <w:sz w:val="18"/>
          <w:szCs w:val="18"/>
          <w:color w:val="auto"/>
        </w:rPr>
        <w:t> May 20, 2022: 4,397 RSUs with a fair market value at grant of US$8.19 per share and 20,899 options with an exercise price of US$8.19 and an expiry date of May 20, 2028.</w:t>
      </w:r>
    </w:p>
    <w:p>
      <w:pPr>
        <w:spacing w:after="0" w:line="81"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600"/>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ind w:right="700" w:hanging="26"/>
        <w:spacing w:after="0" w:line="282" w:lineRule="auto"/>
        <w:rPr>
          <w:sz w:val="20"/>
          <w:szCs w:val="20"/>
          <w:color w:val="auto"/>
        </w:rPr>
      </w:pPr>
      <w:r>
        <w:rPr>
          <w:rFonts w:ascii="Times New Roman" w:cs="Times New Roman" w:eastAsia="Times New Roman" w:hAnsi="Times New Roman"/>
          <w:sz w:val="18"/>
          <w:szCs w:val="18"/>
          <w:color w:val="auto"/>
        </w:rPr>
        <w:t> May 30, 2023: 9,091 RSUs with a fair market value at grant of US$13.18 per share.</w:t>
      </w:r>
    </w:p>
    <w:p>
      <w:pPr>
        <w:spacing w:after="0" w:line="67" w:lineRule="exact"/>
        <w:rPr>
          <w:sz w:val="20"/>
          <w:szCs w:val="20"/>
          <w:color w:val="auto"/>
        </w:rPr>
      </w:pPr>
    </w:p>
    <w:p>
      <w:pPr>
        <w:sectPr>
          <w:pgSz w:w="11900" w:h="16838" w:orient="portrait"/>
          <w:cols w:equalWidth="0" w:num="2">
            <w:col w:w="5720" w:space="160"/>
            <w:col w:w="5200"/>
          </w:cols>
          <w:pgMar w:left="320" w:top="482" w:right="49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This grant was subsequently cancelled and is not currently outstanding.</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 shares subject to the grant were exercised.</w:t>
      </w:r>
    </w:p>
    <w:p>
      <w:pPr>
        <w:spacing w:after="0" w:line="112" w:lineRule="exact"/>
        <w:rPr>
          <w:sz w:val="20"/>
          <w:szCs w:val="20"/>
          <w:color w:val="auto"/>
        </w:rPr>
      </w:pPr>
    </w:p>
    <w:p>
      <w:pPr>
        <w:sectPr>
          <w:pgSz w:w="11900" w:h="16838" w:orient="portrait"/>
          <w:cols w:equalWidth="0" w:num="2">
            <w:col w:w="5660" w:space="120"/>
            <w:col w:w="5300"/>
          </w:cols>
          <w:pgMar w:left="320" w:top="482" w:right="499" w:bottom="1440" w:gutter="0" w:footer="0" w:header="0"/>
          <w:type w:val="continuous"/>
        </w:sectPr>
      </w:pPr>
    </w:p>
    <w:p>
      <w:pPr>
        <w:ind w:left="5880" w:hanging="359"/>
        <w:spacing w:after="0" w:line="266" w:lineRule="auto"/>
        <w:rPr>
          <w:sz w:val="20"/>
          <w:szCs w:val="20"/>
          <w:color w:val="auto"/>
        </w:rPr>
      </w:pPr>
      <w:r>
        <w:rPr>
          <w:rFonts w:ascii="Times New Roman" w:cs="Times New Roman" w:eastAsia="Times New Roman" w:hAnsi="Times New Roman"/>
          <w:sz w:val="18"/>
          <w:szCs w:val="18"/>
          <w:color w:val="auto"/>
        </w:rPr>
        <w:t>**    This grant has subsequently stopped vesting as of September 4, 2020. Unvested amounts were subsequently cancelled and no shares subject to the grants have been exercised to date.</w:t>
      </w:r>
    </w:p>
    <w:p>
      <w:pPr>
        <w:spacing w:after="0" w:line="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ectPr>
          <w:pgSz w:w="11900" w:h="16838" w:orient="portrait"/>
          <w:cols w:equalWidth="0" w:num="1">
            <w:col w:w="11080"/>
          </w:cols>
          <w:pgMar w:left="320" w:top="482" w:right="499" w:bottom="1440" w:gutter="0" w:footer="0" w:header="0"/>
          <w:type w:val="continuous"/>
        </w:sectPr>
      </w:pPr>
    </w:p>
    <w:p>
      <w:pPr>
        <w:spacing w:after="0" w:line="1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color w:val="auto"/>
        </w:rPr>
        <w:t>Charles Prober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both"/>
        <w:ind w:right="460" w:hanging="26"/>
        <w:spacing w:after="0" w:line="266" w:lineRule="auto"/>
        <w:rPr>
          <w:sz w:val="20"/>
          <w:szCs w:val="20"/>
          <w:color w:val="auto"/>
        </w:rPr>
      </w:pPr>
      <w:r>
        <w:rPr>
          <w:rFonts w:ascii="Times New Roman" w:cs="Times New Roman" w:eastAsia="Times New Roman" w:hAnsi="Times New Roman"/>
          <w:sz w:val="18"/>
          <w:szCs w:val="18"/>
          <w:color w:val="auto"/>
        </w:rPr>
        <w:t> April 12, 2022: 614,859 RSUs with a fair market value at grant of US$11.98 per share and 232,752 options with an exercise price of US$11.18 and an expiry date of April 12, 2028.</w:t>
      </w:r>
    </w:p>
    <w:p>
      <w:pPr>
        <w:spacing w:after="0" w:line="81" w:lineRule="exact"/>
        <w:rPr>
          <w:sz w:val="20"/>
          <w:szCs w:val="20"/>
          <w:color w:val="auto"/>
        </w:rPr>
      </w:pPr>
    </w:p>
    <w:p>
      <w:pPr>
        <w:sectPr>
          <w:pgSz w:w="11900" w:h="16838" w:orient="portrait"/>
          <w:cols w:equalWidth="0" w:num="3">
            <w:col w:w="4880" w:space="720"/>
            <w:col w:w="120" w:space="160"/>
            <w:col w:w="5200"/>
          </w:cols>
          <w:pgMar w:left="320" w:top="482" w:right="499" w:bottom="1440" w:gutter="0" w:footer="0" w:header="0"/>
          <w:type w:val="continuous"/>
        </w:sectPr>
      </w:pPr>
    </w:p>
    <w:p>
      <w:pPr>
        <w:ind w:left="5520"/>
        <w:spacing w:after="0"/>
        <w:rPr>
          <w:sz w:val="20"/>
          <w:szCs w:val="20"/>
          <w:color w:val="auto"/>
        </w:rPr>
      </w:pPr>
      <w:r>
        <w:rPr>
          <w:rFonts w:ascii="Times New Roman" w:cs="Times New Roman" w:eastAsia="Times New Roman" w:hAnsi="Times New Roman"/>
          <w:sz w:val="18"/>
          <w:szCs w:val="18"/>
          <w:color w:val="auto"/>
        </w:rPr>
        <w:t>No consideration was paid for the grant of the above options or RSUs.</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Proposals 3 to 10 are approved, the Company will proceed to grant the relevant RSUs to the relevant non-executive directors.</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If Proposals 3 to 10 are not approved, the Company will not grant the relevant RSUs to the relevant non-executive directors and may increase the cash component of remuneration to appropriately rebalance overall director compensation.</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Details of any securities issued under the Stock Plan will be published in the Company’s Annual Report on Form 10-K for the fiscal year ended 2024 relating to the period in which they were issued, along with a statement that the approval for the issue was obtained under ASX Listing Rule 10.14. Any additional persons covered by ASX Listing Rule 10.14 who become entitled to participate in an issue of securities under the scheme after the resolution is approved and who were not named in the notice of meeting will not participate until approval is obtained under that rule.</w:t>
      </w:r>
    </w:p>
    <w:p>
      <w:pPr>
        <w:spacing w:after="0" w:line="392" w:lineRule="exact"/>
        <w:rPr>
          <w:sz w:val="20"/>
          <w:szCs w:val="20"/>
          <w:color w:val="auto"/>
        </w:rPr>
      </w:pPr>
    </w:p>
    <w:p>
      <w:pPr>
        <w:jc w:val="center"/>
        <w:ind w:left="500" w:right="8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4"/>
          <w:szCs w:val="14"/>
          <w:b w:val="1"/>
          <w:bCs w:val="1"/>
          <w:color w:val="auto"/>
        </w:rPr>
        <w:t>OGHLAN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3</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82" w:right="4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4"/>
          <w:szCs w:val="14"/>
          <w:b w:val="1"/>
          <w:bCs w:val="1"/>
          <w:color w:val="auto"/>
        </w:rPr>
        <w:t>ORIN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HER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4</w:t>
      </w:r>
    </w:p>
    <w:p>
      <w:pPr>
        <w:spacing w:after="0" w:line="155" w:lineRule="exact"/>
        <w:rPr>
          <w:sz w:val="20"/>
          <w:szCs w:val="20"/>
          <w:color w:val="auto"/>
        </w:rPr>
      </w:pPr>
    </w:p>
    <w:p>
      <w:pPr>
        <w:jc w:val="center"/>
        <w:ind w:left="660" w:right="6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S</w:t>
      </w:r>
      <w:r>
        <w:rPr>
          <w:rFonts w:ascii="Times New Roman" w:cs="Times New Roman" w:eastAsia="Times New Roman" w:hAnsi="Times New Roman"/>
          <w:sz w:val="14"/>
          <w:szCs w:val="14"/>
          <w:b w:val="1"/>
          <w:bCs w:val="1"/>
          <w:color w:val="auto"/>
        </w:rPr>
        <w:t>YNGE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5</w:t>
      </w:r>
    </w:p>
    <w:p>
      <w:pPr>
        <w:spacing w:after="0" w:line="155" w:lineRule="exact"/>
        <w:rPr>
          <w:sz w:val="20"/>
          <w:szCs w:val="20"/>
          <w:color w:val="auto"/>
        </w:rPr>
      </w:pPr>
    </w:p>
    <w:p>
      <w:pPr>
        <w:jc w:val="center"/>
        <w:ind w:left="660" w:right="2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G</w:t>
      </w:r>
      <w:r>
        <w:rPr>
          <w:rFonts w:ascii="Times New Roman" w:cs="Times New Roman" w:eastAsia="Times New Roman" w:hAnsi="Times New Roman"/>
          <w:sz w:val="14"/>
          <w:szCs w:val="14"/>
          <w:b w:val="1"/>
          <w:bCs w:val="1"/>
          <w:color w:val="auto"/>
        </w:rPr>
        <w:t>OINES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6</w:t>
      </w:r>
    </w:p>
    <w:p>
      <w:pPr>
        <w:spacing w:after="0" w:line="1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4"/>
          <w:szCs w:val="14"/>
          <w:b w:val="1"/>
          <w:bCs w:val="1"/>
          <w:color w:val="auto"/>
        </w:rPr>
        <w:t>IADROWSKI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RECOMMENDS</w:t>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7</w:t>
      </w:r>
    </w:p>
    <w:p>
      <w:pPr>
        <w:spacing w:after="0" w:line="2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MS</w:t>
      </w:r>
      <w:r>
        <w:rPr>
          <w:rFonts w:ascii="Times New Roman" w:cs="Times New Roman" w:eastAsia="Times New Roman" w:hAnsi="Times New Roman"/>
          <w:sz w:val="18"/>
          <w:szCs w:val="18"/>
          <w:b w:val="1"/>
          <w:bCs w:val="1"/>
          <w:color w:val="auto"/>
        </w:rPr>
        <w:t>. Z</w:t>
      </w:r>
      <w:r>
        <w:rPr>
          <w:rFonts w:ascii="Times New Roman" w:cs="Times New Roman" w:eastAsia="Times New Roman" w:hAnsi="Times New Roman"/>
          <w:sz w:val="14"/>
          <w:szCs w:val="14"/>
          <w:b w:val="1"/>
          <w:bCs w:val="1"/>
          <w:color w:val="auto"/>
        </w:rPr>
        <w:t>UCKERBERG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HER PERSONAL INTEREST IN THE PROPOSAL</w:t>
      </w:r>
      <w:r>
        <w:rPr>
          <w:rFonts w:ascii="Times New Roman" w:cs="Times New Roman" w:eastAsia="Times New Roman" w:hAnsi="Times New Roman"/>
          <w:sz w:val="18"/>
          <w:szCs w:val="18"/>
          <w:b w:val="1"/>
          <w:bCs w:val="1"/>
          <w:color w:val="auto"/>
        </w:rPr>
        <w:t>)</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b w:val="1"/>
          <w:bCs w:val="1"/>
          <w:color w:val="auto"/>
        </w:rPr>
        <w:t>RECOMMENDS</w:t>
      </w: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8</w:t>
      </w:r>
    </w:p>
    <w:p>
      <w:pPr>
        <w:spacing w:after="0" w:line="201" w:lineRule="exact"/>
        <w:rPr>
          <w:sz w:val="20"/>
          <w:szCs w:val="20"/>
          <w:color w:val="auto"/>
        </w:rPr>
      </w:pPr>
    </w:p>
    <w:p>
      <w:pPr>
        <w:jc w:val="center"/>
        <w:ind w:left="640" w:right="10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H</w:t>
      </w:r>
      <w:r>
        <w:rPr>
          <w:rFonts w:ascii="Times New Roman" w:cs="Times New Roman" w:eastAsia="Times New Roman" w:hAnsi="Times New Roman"/>
          <w:sz w:val="14"/>
          <w:szCs w:val="14"/>
          <w:b w:val="1"/>
          <w:bCs w:val="1"/>
          <w:color w:val="auto"/>
        </w:rPr>
        <w:t>ARO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9</w:t>
      </w:r>
    </w:p>
    <w:p>
      <w:pPr>
        <w:spacing w:after="0" w:line="155" w:lineRule="exact"/>
        <w:rPr>
          <w:sz w:val="20"/>
          <w:szCs w:val="20"/>
          <w:color w:val="auto"/>
        </w:rPr>
      </w:pPr>
    </w:p>
    <w:p>
      <w:pPr>
        <w:jc w:val="cente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EXCLUDING MR</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4"/>
          <w:szCs w:val="14"/>
          <w:b w:val="1"/>
          <w:bCs w:val="1"/>
          <w:color w:val="auto"/>
        </w:rPr>
        <w:t>ROBER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WHO ABSTAINS GIVEN HIS PERSONAL INTEREST IN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4"/>
          <w:szCs w:val="14"/>
          <w:b w:val="1"/>
          <w:bCs w:val="1"/>
          <w:color w:val="auto"/>
        </w:rPr>
        <w:t>RECOMMENDS</w:t>
      </w:r>
      <w:r>
        <w:rPr>
          <w:rFonts w:ascii="Times New Roman" w:cs="Times New Roman" w:eastAsia="Times New Roman" w:hAnsi="Times New Roman"/>
          <w:sz w:val="18"/>
          <w:szCs w:val="18"/>
          <w:b w:val="1"/>
          <w:bCs w:val="1"/>
          <w:color w:val="auto"/>
        </w:rPr>
        <w:t xml:space="preserve"> A </w:t>
      </w:r>
      <w:r>
        <w:rPr>
          <w:rFonts w:ascii="Times New Roman" w:cs="Times New Roman" w:eastAsia="Times New Roman" w:hAnsi="Times New Roman"/>
          <w:sz w:val="14"/>
          <w:szCs w:val="14"/>
          <w:b w:val="1"/>
          <w:bCs w:val="1"/>
          <w:color w:val="auto"/>
        </w:rPr>
        <w:t>VOTE IN FAVOR OF PROPOSAL</w:t>
      </w:r>
      <w:r>
        <w:rPr>
          <w:rFonts w:ascii="Times New Roman" w:cs="Times New Roman" w:eastAsia="Times New Roman" w:hAnsi="Times New Roman"/>
          <w:sz w:val="18"/>
          <w:szCs w:val="18"/>
          <w:b w:val="1"/>
          <w:bCs w:val="1"/>
          <w:color w:val="auto"/>
        </w:rPr>
        <w:t xml:space="preserve"> 10</w:t>
      </w:r>
    </w:p>
    <w:p>
      <w:pPr>
        <w:spacing w:after="0" w:line="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20"/>
          </w:cols>
          <w:pgMar w:left="320" w:top="482" w:right="6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11</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(the “Dodd-Frank Act”), and Section 14A of the Exchange Act, the Company’s stockholders are entitled to vote to approve, on an advisory basis, the compensation of the Company’s named executive officers as disclosed in this proxy statement in accordance with SEC rules.</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the Company’s named executive officers and the philosophy, policies and practices described in this proxy statement. The compensation of the Company’s named executive officers subject to the vote is disclosed in the CD&amp;A, the compensation tables, and the related narrative disclosure contained in this proxy statement. As discussed in those disclosures, the Company believes that its compensation policies and decisions are aligning pay for performance, including by making compensation variable and at risk, and aligns the compensation of our named executive officers with our stockholders’ interests. Compensation of the Company’s named executive officers is designed to enable the Company to attract and retain talented and experienced executives to lead the Company successfully in a competitive environment.</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Accordingly, the Board is asking the stockholders to indicate their support for the compensation of the Company’s named executive officers as described in this proxy statement by casting a non-binding advisory vote (“say-on-pay vote”) “FOR” the following resolution:</w:t>
      </w:r>
    </w:p>
    <w:p>
      <w:pPr>
        <w:spacing w:after="0" w:line="54" w:lineRule="exact"/>
        <w:rPr>
          <w:sz w:val="20"/>
          <w:szCs w:val="20"/>
          <w:color w:val="auto"/>
        </w:rPr>
      </w:pPr>
    </w:p>
    <w:p>
      <w:pPr>
        <w:ind w:left="560" w:right="46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or the Company. Nevertheless, the views expressed by the stockholders, whether through this vote or otherwise, are important to management and the Board and, accordingly, the Board and the Remuneration and Nomination Committee intend to consider the results of this vote in making determinations in the future regarding executive compensation arrangements.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Advisory approval of this proposal requires the vote of the holders of a majority of the votes cast affirmatively or negatively at the Annual Meeting.</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11.</w:t>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82"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12</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ADVISORY VOTE ON THE FREQUENCY OF SOLICITATION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07"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Dodd-Frank Act, and Section 14A of the Exchange Act enable the Company’s stockholders, at least once every six years, to indicate their preference regarding how frequently the Company should solicit a say-on-pay vote on the compensation of the Company’s named executive officers as disclosed in the Company’s proxy statement. Accordingly, the Company is asking stockholders to indicate whether they would prefer an advisory vote every year, every other year or every three years. Alternatively, stockholders may abstain from casting a vote. For the reasons described below, the Board recommends that the stockholders select a frequency of once every one year.</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Board believes that an annual advisory vote on the compensation of the Company’s named executive officers will allow our stockholders to provide timely and direct input on the Company’s executive compensation philosophy, policies and practices as disclosed in the proxy statement each year. Accordingly, the Board is asking stockholders to indicate their preferred voting frequency by voting for one, two or three years or abstaining from voting on this proposal. The alternative among one year, two years or three years that receives the votes of the holders of a majority of the shares present at the meeting or represented by proxy and entitled to vote on the matter at the Annual Meeting will be deemed to be the frequency preferred by the stockholders: The Board recommends stockholders vote in favor of the following frequency:</w:t>
      </w:r>
    </w:p>
    <w:p>
      <w:pPr>
        <w:spacing w:after="0" w:line="79" w:lineRule="exact"/>
        <w:rPr>
          <w:sz w:val="20"/>
          <w:szCs w:val="20"/>
          <w:color w:val="auto"/>
        </w:rPr>
      </w:pPr>
    </w:p>
    <w:p>
      <w:pPr>
        <w:ind w:left="560" w:right="540"/>
        <w:spacing w:after="0" w:line="282" w:lineRule="auto"/>
        <w:rPr>
          <w:sz w:val="20"/>
          <w:szCs w:val="20"/>
          <w:color w:val="auto"/>
        </w:rPr>
      </w:pPr>
      <w:r>
        <w:rPr>
          <w:rFonts w:ascii="Times New Roman" w:cs="Times New Roman" w:eastAsia="Times New Roman" w:hAnsi="Times New Roman"/>
          <w:sz w:val="18"/>
          <w:szCs w:val="18"/>
          <w:color w:val="auto"/>
        </w:rPr>
        <w:t>“RESOLVED, that the frequency of every one year is hereby APPROVED as the frequency preferred by stockholders for the solicitation of advisory stockholder approval of the compensation paid to the Company’s named executive officers.”</w:t>
      </w:r>
    </w:p>
    <w:p>
      <w:pPr>
        <w:spacing w:after="0" w:line="162"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While the Board believes that its recommendation is appropriate at this time, the stockholders are not voting to approve or disapprove that recommendation, but are instead asked to indicate their preferences, on an advisory basis, as to whether the non-binding advisory vote on the approval of the Company’s executive officer compensation practices should be held every year, every other year or every three years. If no option among those choices receives an affirmative vote of the holders of a majority of the votes cast affirmatively or negatively, the option among those choices that receives the highest number of affirmative votes cast will be deemed to be the frequency preferred by the stockholders.</w:t>
      </w:r>
    </w:p>
    <w:p>
      <w:pPr>
        <w:spacing w:after="0" w:line="18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Board and the Remuneration and Nomination Committee value the opinions of the stockholders in this matter and, to the extent there is any significant vote in favor of one frequency over the other options, even if less than a majority, the Board will consider the stockholders’ concerns and evaluate any appropriate next steps. However, because this vote is advisory and, therefore, not binding on the Board or the Company, the Board may decide that it is in the best interests of the stockholders that the Company hold an advisory vote on executive compensation more or less frequently than the option preferred by the stockholders. The vote will not be construed to create or imply any change or addition to the fiduciary duties of the Company or the Board.</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“O</w:t>
      </w:r>
      <w:r>
        <w:rPr>
          <w:rFonts w:ascii="Times New Roman" w:cs="Times New Roman" w:eastAsia="Times New Roman" w:hAnsi="Times New Roman"/>
          <w:sz w:val="15"/>
          <w:szCs w:val="15"/>
          <w:b w:val="1"/>
          <w:bCs w:val="1"/>
          <w:color w:val="auto"/>
        </w:rPr>
        <w:t xml:space="preserve">NE </w:t>
      </w:r>
      <w:r>
        <w:rPr>
          <w:rFonts w:ascii="Times New Roman" w:cs="Times New Roman" w:eastAsia="Times New Roman" w:hAnsi="Times New Roman"/>
          <w:sz w:val="17"/>
          <w:szCs w:val="17"/>
          <w:b w:val="1"/>
          <w:bCs w:val="1"/>
          <w:color w:val="auto"/>
        </w:rPr>
        <w:t>Y</w:t>
      </w:r>
      <w:r>
        <w:rPr>
          <w:rFonts w:ascii="Times New Roman" w:cs="Times New Roman" w:eastAsia="Times New Roman" w:hAnsi="Times New Roman"/>
          <w:sz w:val="15"/>
          <w:szCs w:val="15"/>
          <w:b w:val="1"/>
          <w:bCs w:val="1"/>
          <w:color w:val="auto"/>
        </w:rPr>
        <w:t>EAR</w:t>
      </w:r>
      <w:r>
        <w:rPr>
          <w:rFonts w:ascii="Times New Roman" w:cs="Times New Roman" w:eastAsia="Times New Roman" w:hAnsi="Times New Roman"/>
          <w:sz w:val="17"/>
          <w:szCs w:val="17"/>
          <w:b w:val="1"/>
          <w:bCs w:val="1"/>
          <w:color w:val="auto"/>
        </w:rPr>
        <w:t>” O</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12.</w:t>
      </w:r>
    </w:p>
    <w:p>
      <w:pPr>
        <w:spacing w:after="0" w:line="1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13</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The Audit and Risk Management Committee and the Board have selected Deloitte &amp; Touche LLP (“Deloitte”) as the Company’s independent registered public accounting firm for the fiscal year ending December 31, 2024 and have further directed that management submit the selection of its independent registered public accounting firm for ratification by the stockholders at the Annual Meeting. Representatives of Deloitte are expected to be present at the Annual Meeting. They will have an opportunity to make a statement if they so desire and will be available to respond to appropriate questions.</w:t>
      </w:r>
    </w:p>
    <w:p>
      <w:pPr>
        <w:spacing w:after="0" w:line="16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Neither the Company’s Bylaws nor other governing documents or law require stockholder ratification of the selection of Deloitte as the Company’s independent registered public accounting firm. However, the Board is submitting the selection of Deloitte to the stockholders for ratification as a matter of good corporate practice. If the stockholders fail to ratify the selection, the Audit and Risk Management Committee of the Board will reconsider whether or not to retain that firm. Even if the selection is ratified, the Audit and Risk Management Committee of the Board in its discretion may direct the appointment of different independent auditors at any time during the year if they determine that such a change would be in the best interests of the Company and its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RINCIPAL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CCOUNTANT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EES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2023 and December 31, 2022, by Deloitte and BDO USA, LLP (“BDO”), respectively, the Company’s principal accountants for such periods.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Deloitte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2"/>
        </w:trPr>
        <w:tc>
          <w:tcPr>
            <w:tcW w:w="44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440" w:type="dxa"/>
            <w:vAlign w:val="bottom"/>
          </w:tcPr>
          <w:p>
            <w:pPr>
              <w:spacing w:after="0"/>
              <w:rPr>
                <w:sz w:val="18"/>
                <w:szCs w:val="18"/>
                <w:color w:val="auto"/>
              </w:rPr>
            </w:pPr>
          </w:p>
        </w:tc>
        <w:tc>
          <w:tcPr>
            <w:tcW w:w="7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7"/>
              </w:rPr>
              <w:t>2,831,216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4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80" w:type="dxa"/>
            <w:vAlign w:val="bottom"/>
            <w:gridSpan w:val="2"/>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2,831,216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r>
      <w:tr>
        <w:trPr>
          <w:trHeight w:val="540"/>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BDO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4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8"/>
          </w:tcPr>
          <w:p>
            <w:pPr>
              <w:ind w:left="4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42"/>
        </w:trPr>
        <w:tc>
          <w:tcPr>
            <w:tcW w:w="44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210"/>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225,000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2,375,380</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4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(2)</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w w:val="96"/>
              </w:rPr>
              <w:t>— </w:t>
            </w:r>
          </w:p>
        </w:tc>
        <w:tc>
          <w:tcPr>
            <w:tcW w:w="540" w:type="dxa"/>
            <w:vAlign w:val="bottom"/>
            <w:gridSpan w:val="2"/>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85,940</w:t>
            </w:r>
          </w:p>
        </w:tc>
        <w:tc>
          <w:tcPr>
            <w:tcW w:w="6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2,461,320</w:t>
            </w: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and Risk Management Committee.</w:t>
      </w:r>
    </w:p>
    <w:p>
      <w:pPr>
        <w:spacing w:after="0" w:line="252" w:lineRule="exact"/>
        <w:rPr>
          <w:sz w:val="20"/>
          <w:szCs w:val="20"/>
          <w:color w:val="auto"/>
        </w:rPr>
      </w:pPr>
    </w:p>
    <w:p>
      <w:pPr>
        <w:ind w:left="540" w:right="60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related to the audit of the Company’s annual financial statements and review of the Company’s quarterly financial statements as well as services that are normally provided by independent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82"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220"/>
        <w:spacing w:after="0" w:line="261" w:lineRule="auto"/>
        <w:rPr>
          <w:sz w:val="20"/>
          <w:szCs w:val="20"/>
          <w:color w:val="auto"/>
        </w:rPr>
      </w:pPr>
      <w:r>
        <w:rPr>
          <w:rFonts w:ascii="Times New Roman" w:cs="Times New Roman" w:eastAsia="Times New Roman" w:hAnsi="Times New Roman"/>
          <w:sz w:val="18"/>
          <w:szCs w:val="18"/>
          <w:color w:val="auto"/>
        </w:rPr>
        <w:t>registered public accounting firms in connection with statutory and regulatory filings or engagements for those fiscal years, including review of SEC registration statements and related consents.</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includes fees relating to tax, audit and valuation services relating to the acquisition of Tile, Inc. in January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RE</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PPROVAL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OLICIES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Audit and Risk Management Committee has adopted a policy and procedures for the pre-approval of audit and non-audit services rendered by the Company’s independent registered public accounting firm, Deloitte. The policy generally pre-approves specified services in the defined categories of audit services, audit-related services and tax services up to specified amounts. Pre-approval may also be given as part of the Audit and Risk Management Committee’s approval of the scope of the engagement of the independent auditor or on an individual, explicit, case-by-case basis before the independent auditor is engaged to provide each service. The pre-approval of services may be delegated to one or more of the Audit and Risk Management Committee’s members, but the decision must be reported to the full Audit and Risk Management Committee at its next scheduled meeting.</w:t>
      </w:r>
    </w:p>
    <w:p>
      <w:pPr>
        <w:spacing w:after="0" w:line="173"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Audit and Risk Management Committee has determined that the rendering of services other than audit services by Deloitte is compatible with maintaining the principal accountant’s independence.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NDEPENDENT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EGISTERED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UBLIC</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CCOUNTING</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IRM</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April 3, 2023, based on the approval of the Audit &amp; Risk Management Committee and the Board, the Company dismissed BDO as the Company’s independent registered public accounting firm. As described below, the decision to dismiss BDO as the independent registered public accounting firm of the Company is not the result of any disagreement with BDO.</w:t>
      </w:r>
    </w:p>
    <w:p>
      <w:pPr>
        <w:spacing w:after="0" w:line="176"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BDO’s audit reports on the Company’s financial statements as of and for the year ended December 31, 2022 did not contain an adverse opinion or a disclaimer of opinion and were not qualified or modified as to uncertainty, audit scope or accounting principles.</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During the fiscal year ended December 31, 2022, and in the subsequent interim period through April 3, 2023, there were (i) no “disagreements” as that term is defined in Item 304(a)(1)(iv) of Regulation S-K between the Company and BDO on any matter of accounting principles or practices, financial statement disclosure or auditing scope or procedure, which disagreements, if not resolved to the satisfaction of BDO, would have caused BDO to make reference to the subject matter of the disagreement in their reports on the financial statements for such years, and (ii) no “reportable events” as that term is defined in Item 304(a)(1)(v) of Regulation S-K, except for the material weaknesses in the Company’s internal controls over financial reporting as disclosed in Part II, Item 9A of the Company’s Form 10-K as of December 31, 2022, related to management’s risk assessment process over information technology general controls, the design and implementation of information technology general controls, including certain controls over logical access, segregation of duties and change management, and certain process level controls including information used in the execution of those controls that impacted our financial reporting processes. BDO’s letter to the SEC stating its agreement with the statements in this paragraph was filed as an exhibit to the Company’s Current Report on Form 8-K dated April 10, 2023. Representatives of BDO are expected to be present at the Annual Meeting. They will have an opportunity to make a statement if they so desire and will be available to respond to appropriate questions.</w:t>
      </w:r>
    </w:p>
    <w:p>
      <w:pPr>
        <w:spacing w:after="0" w:line="192"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On April 7, 2023, following approval of the Audit Committee, the Company engaged Deloitte as the Company’s independent registered public accounting firm for the year ending December 31, 2023.</w:t>
      </w:r>
    </w:p>
    <w:p>
      <w:pPr>
        <w:spacing w:after="0" w:line="162"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During the Company’s two most recent fiscal years, neither the Company nor anyone on its behalf consulted with Deloitte with respect to: (i) the application of accounting principles to a specified transaction, either completed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82"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proposed, or the type of audit opinion that might be rendered on the Company’s consolidated financial statements, and no written or oral advice of Deloitte was provided to the Company that was an important factor considered by the Company in reaching a decision as to the accounting, auditing, or financial reporting issue; or (ii) any matter that was either the subject of a “disagreement” (as defined in Item 304(a)(1)(iv) of Regulation S-K and the related instructions related thereto), or any “reportable event” (as defined in Item 304(a)(1)(v) of Regulation S-K).</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Approval of this Proposal 13 requires the affirmative vote of the holders of a majority of the votes cast affirmatively or negatively.</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13.</w:t>
      </w:r>
    </w:p>
    <w:p>
      <w:pPr>
        <w:spacing w:after="0" w:line="1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40"/>
          </w:cols>
          <w:pgMar w:left="320" w:top="482" w:right="5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PROPOSAL 14</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APPROVAL OF AMENDMENT TO THE CERTIFICATE OF INCORPORATION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TO INCREASE NUMBER OF AUTHORIZED SHARES</w:t>
      </w:r>
    </w:p>
    <w:p>
      <w:pPr>
        <w:spacing w:after="0" w:line="207" w:lineRule="exact"/>
        <w:rPr>
          <w:sz w:val="20"/>
          <w:szCs w:val="20"/>
          <w:color w:val="auto"/>
        </w:rPr>
      </w:pPr>
    </w:p>
    <w:p>
      <w:pPr>
        <w:ind w:left="120" w:right="280"/>
        <w:spacing w:after="0" w:line="312" w:lineRule="auto"/>
        <w:rPr>
          <w:sz w:val="20"/>
          <w:szCs w:val="20"/>
          <w:color w:val="auto"/>
        </w:rPr>
      </w:pPr>
      <w:r>
        <w:rPr>
          <w:rFonts w:ascii="Times New Roman" w:cs="Times New Roman" w:eastAsia="Times New Roman" w:hAnsi="Times New Roman"/>
          <w:sz w:val="17"/>
          <w:szCs w:val="17"/>
          <w:color w:val="auto"/>
        </w:rPr>
        <w:t>On April 1, 2024, our Board adopted a resolution approving, subject to stockholder approval, an amendment to our Certificate of Incorporation to increase the authorized number of shares of our Common Stock from 100,000,000 shares to 500,000,000 shares (the “Share Increase Amendment”).</w:t>
      </w:r>
    </w:p>
    <w:p>
      <w:pPr>
        <w:spacing w:after="0" w:line="14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stockholders approve this proposal, we expect to file a certificate of amendment to our Certificate of Incorporation with the Secretary of State of the State of Delaware setting forth the Share Increase Amendment (and any other amendment contemplated by proposals 16 through 18 that is approved by stockholders) as soon as practicable following stockholder approval. Upon the filing of such certificate of amendment with the Secretary of State of the State of Delaware, paragraph A of Article 4 of our Certificate of Incorporation would read as follows:</w:t>
      </w:r>
    </w:p>
    <w:p>
      <w:pPr>
        <w:spacing w:after="0" w:line="68"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Classes of Stock</w:t>
      </w:r>
      <w:r>
        <w:rPr>
          <w:rFonts w:ascii="Times New Roman" w:cs="Times New Roman" w:eastAsia="Times New Roman" w:hAnsi="Times New Roman"/>
          <w:sz w:val="18"/>
          <w:szCs w:val="18"/>
          <w:i w:val="1"/>
          <w:iCs w:val="1"/>
          <w:color w:val="auto"/>
        </w:rPr>
        <w:t xml:space="preserve">. The Corporation is authorized to issue one class of stock to be designated “Common Stock.” The total number of shares which the Corporation is authorized to issue is </w:t>
      </w:r>
      <w:r>
        <w:rPr>
          <w:rFonts w:ascii="Times New Roman" w:cs="Times New Roman" w:eastAsia="Times New Roman" w:hAnsi="Times New Roman"/>
          <w:sz w:val="18"/>
          <w:szCs w:val="18"/>
          <w:i w:val="1"/>
          <w:iCs w:val="1"/>
          <w:color w:val="auto"/>
          <w:strike w:val="1"/>
        </w:rPr>
        <w:t>100,000,000</w:t>
      </w:r>
      <w:r>
        <w:rPr>
          <w:rFonts w:ascii="Times New Roman" w:cs="Times New Roman" w:eastAsia="Times New Roman" w:hAnsi="Times New Roman"/>
          <w:sz w:val="18"/>
          <w:szCs w:val="18"/>
          <w:i w:val="1"/>
          <w:iCs w:val="1"/>
          <w:u w:val="single" w:color="auto"/>
          <w:color w:val="auto"/>
        </w:rPr>
        <w:t>500,000,000</w:t>
      </w:r>
      <w:r>
        <w:rPr>
          <w:rFonts w:ascii="Times New Roman" w:cs="Times New Roman" w:eastAsia="Times New Roman" w:hAnsi="Times New Roman"/>
          <w:sz w:val="18"/>
          <w:szCs w:val="18"/>
          <w:i w:val="1"/>
          <w:iCs w:val="1"/>
          <w:color w:val="auto"/>
        </w:rPr>
        <w:t xml:space="preserve"> shares, each with a par value of $0.001 per share, all of which shares shall be Common Stock.</w:t>
      </w:r>
    </w:p>
    <w:p>
      <w:pPr>
        <w:spacing w:after="0" w:line="17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Paragraph A of Article 4 of our Certificate of Incorporation currently authorizes us to issue up to 100,000,000 shares of Common Stock. As of the close of business on April 9, 2024, the Record Date, our share utilization was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Number of Shares of</w:t>
            </w:r>
          </w:p>
        </w:tc>
      </w:tr>
      <w:tr>
        <w:trPr>
          <w:trHeight w:val="173"/>
        </w:trPr>
        <w:tc>
          <w:tcPr>
            <w:tcW w:w="698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Authorized for issuance</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[68,290,623]</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 for issuance</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Issuable pursuant to outstanding equity awards under our Stock Plan</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[12,964,225]</w:t>
            </w: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Issuable upon exercise of the Company’s warrants outstanding</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[137,658]</w:t>
            </w: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Issuable pursuant to outstanding convertible notes</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[325,982]</w:t>
            </w: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Reserved for issuance under the Company’s Stock Plan</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[13,324,063]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share usage (sum of issued and outstanding and reserved for issuance</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[95,042,551]</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 usage as percentage of authorized</w:t>
            </w: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r>
    </w:tbl>
    <w:p>
      <w:pPr>
        <w:spacing w:after="0" w:line="198"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As a result, only approximately 4,957,449 shares of our common stock (or 5.0% of the total authorized shares) are unreserved and available for future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Increase in Authorized Shares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is considering whether to pursue a public offering in the United States, which, if determined, would consist of the offer and sale of shares of Common Stock on a national exchange. While the timing and terms of any such potential offering will depend on a number of factors, including but not limited to market conditions in the United States, the Company believes that increasing the authorized shares pursuant to the Share Increase Amendment will provide greater flexibility to pursue a potential offering should favorable conditions arise. Even if our Board determines to undertake a public offering, there is no assurance that it will be completed.</w:t>
      </w:r>
    </w:p>
    <w:p>
      <w:pPr>
        <w:spacing w:after="0" w:line="183"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Aside from any issuance of shares of Common Stock in connection with a potential public offering, the Board believes it is appropriate to increase our authorized shares of Common Stock to provide additional flexibility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60"/>
          </w:cols>
          <w:pgMar w:left="320" w:top="482" w:right="5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promptly and appropriately use our Common Stock for strategic, business and financial purposes in the future, as well as to have sufficient shares available to provide appropriate equity incentives for our employees and other eligible service providers. The additional shares of Common Stock, if approved, may be used for various purposes without further stockholder approval (subject to compliance with the ASX Listing Rules). These purposes may include, among other things, raising working capital; providing equity incentives to employees, officers, directors, and/or consultants; establishing collaborative or partnering arrangements with other companies; and other corporate purposes.</w:t>
      </w:r>
    </w:p>
    <w:p>
      <w:pPr>
        <w:spacing w:after="0" w:line="18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Share Increase Amendment, declared the amendment advisable and in the best interests of the Company and our stockholders, approved and adopted the amendment, unanimously resolved to submit the Share Increase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Increase in Authorized Shares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additional authorized shares of Common Stock will have rights identical to our current outstanding Common Stock. While adoption of the Share Increase Amendment will not have any immediate dilutive effect on the voting power or other rights of our existing stockholders, any future issuance of additional authorized shares of Common Stock may, among other things, dilute the earnings per share of our Common Stock and the equity and voting rights of those holding Common Stock at the time the additional shares are issued. Except as otherwise required by law or the ASX Listing Rules, the newly authorized shares of Common Stock may be issued by our Board without further vote of our stockholders. Under our Certificate of Incorporation, holders of our Common Stock do not have preemptive rights to purchase additional shares.</w:t>
      </w:r>
    </w:p>
    <w:p>
      <w:pPr>
        <w:spacing w:after="0" w:line="187"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Although this proposal to approve the Share Increase Amendment has been prompted by business and financial considerations and not by the threat of any hostile takeover attempt, the additional shares of Common Stock that would become available for issuance if this proposed amendment is approved could also be used, subject to the Board’s fiduciary duties, to oppose a hostile takeover attempt or to delay or prevent changes in control.</w:t>
      </w:r>
    </w:p>
    <w:p>
      <w:pPr>
        <w:spacing w:after="0" w:line="176"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changes will be made to the Certificate of Incorporation with respect to the number of authorized shares of the Common Stock of the Company and the Share Increase Amendment will not become effective.</w:t>
      </w:r>
    </w:p>
    <w:p>
      <w:pPr>
        <w:spacing w:after="0" w:line="162"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Share Increase Amendment without further action by our stockholders at any time before the effectiveness thereof, even if the Share Increase Amendment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14 will require the affirmative vote of the holders of a majority of the outstanding shares of Common Stock.</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14.</w:t>
      </w:r>
    </w:p>
    <w:p>
      <w:pPr>
        <w:spacing w:after="0" w:line="15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82"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15</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AMENDMENT TO THE CERTIFICATE OF INCORPORATION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CREATE A CLASS OF PREFERRED STOCK</w:t>
      </w:r>
    </w:p>
    <w:p>
      <w:pPr>
        <w:spacing w:after="0" w:line="20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April 1, 2024, our Board of Directors adopted a resolution approving, subject to stockholder approval, an amendment to our Certificate of Incorporation to authorize 50,000,000 shares of “blank check” preferred stock, issuable in one or more series, and to implement ancillary changes related thereto (the “Preferred Stock Amendment”). The term “blank check” preferred stock refers to preferred stock, the creation and issuance of which is authorized in advance by a company’s stockholders and the terms, rights and features of which are determined by the board of directors of a company without seeking further actions or vote of the stockholders. The Preferred Stock Amendment is conditional on each of (i) approval of Proposal 14 and the effectiveness of the Share Increase Amendment, (ii) the consummation of a public offering of the Company’s Common Stock and related listing on a national securities exchange in the United States, if any, and (iii) the Company changing its admission category on the ASX to a “Foreign Exempt Listing,” such change to admission category being subject to the ASX Listing Rules.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stockholders approve this proposal, then following the satisfaction of each of the foregoing conditions, we expect to file a certificate of amendment to our Certificate of Incorporation reflecting the Preferred Stock Amendment with the Secretary of State of the State of Delaware. Upon the filing of such certificate of amendment with the Secretary of State of the State of Delaware, the following changes would be made to the Certificate of Incorporation (as through the filing of such certificate of amendment):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 Paragraph (A) of Article IV is amended as follows:</w:t>
      </w:r>
    </w:p>
    <w:p>
      <w:pPr>
        <w:spacing w:after="0" w:line="113" w:lineRule="exact"/>
        <w:rPr>
          <w:sz w:val="20"/>
          <w:szCs w:val="20"/>
          <w:color w:val="auto"/>
        </w:rPr>
      </w:pPr>
    </w:p>
    <w:p>
      <w:pPr>
        <w:ind w:left="560"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Classes of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The Corporation is authorized to issue one class of stock to be designated “</w:t>
      </w:r>
      <w:r>
        <w:rPr>
          <w:rFonts w:ascii="Times New Roman" w:cs="Times New Roman" w:eastAsia="Times New Roman" w:hAnsi="Times New Roman"/>
          <w:sz w:val="18"/>
          <w:szCs w:val="18"/>
          <w:color w:val="auto"/>
          <w:strike w:val="1"/>
        </w:rPr>
        <w:t>Common Stock</w:t>
      </w:r>
      <w:r>
        <w:rPr>
          <w:rFonts w:ascii="Times New Roman" w:cs="Times New Roman" w:eastAsia="Times New Roman" w:hAnsi="Times New Roman"/>
          <w:sz w:val="18"/>
          <w:szCs w:val="18"/>
          <w:i w:val="1"/>
          <w:iCs w:val="1"/>
          <w:color w:val="auto"/>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total number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of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classes of stock</w:t>
      </w:r>
      <w:r>
        <w:rPr>
          <w:rFonts w:ascii="Times New Roman" w:cs="Times New Roman" w:eastAsia="Times New Roman" w:hAnsi="Times New Roman"/>
          <w:sz w:val="18"/>
          <w:szCs w:val="18"/>
          <w:i w:val="1"/>
          <w:iCs w:val="1"/>
          <w:color w:val="auto"/>
        </w:rPr>
        <w:t xml:space="preserve"> which the Corporation is authorized to issue is </w:t>
      </w:r>
      <w:r>
        <w:rPr>
          <w:rFonts w:ascii="Times New Roman" w:cs="Times New Roman" w:eastAsia="Times New Roman" w:hAnsi="Times New Roman"/>
          <w:sz w:val="18"/>
          <w:szCs w:val="18"/>
          <w:i w:val="1"/>
          <w:iCs w:val="1"/>
          <w:color w:val="auto"/>
          <w:strike w:val="1"/>
        </w:rPr>
        <w:t>500,000,000</w:t>
      </w:r>
      <w:r>
        <w:rPr>
          <w:rFonts w:ascii="Times New Roman" w:cs="Times New Roman" w:eastAsia="Times New Roman" w:hAnsi="Times New Roman"/>
          <w:sz w:val="18"/>
          <w:szCs w:val="18"/>
          <w:i w:val="1"/>
          <w:iCs w:val="1"/>
          <w:u w:val="single" w:color="auto"/>
          <w:color w:val="auto"/>
        </w:rPr>
        <w:t>550,000,000</w:t>
      </w:r>
      <w:r>
        <w:rPr>
          <w:rFonts w:ascii="Times New Roman" w:cs="Times New Roman" w:eastAsia="Times New Roman" w:hAnsi="Times New Roman"/>
          <w:sz w:val="18"/>
          <w:szCs w:val="18"/>
          <w:i w:val="1"/>
          <w:iCs w:val="1"/>
          <w:color w:val="auto"/>
        </w:rPr>
        <w:t xml:space="preserve"> shares, </w:t>
      </w:r>
      <w:r>
        <w:rPr>
          <w:rFonts w:ascii="Times New Roman" w:cs="Times New Roman" w:eastAsia="Times New Roman" w:hAnsi="Times New Roman"/>
          <w:sz w:val="18"/>
          <w:szCs w:val="18"/>
          <w:i w:val="1"/>
          <w:iCs w:val="1"/>
          <w:color w:val="auto"/>
          <w:strike w:val="1"/>
        </w:rPr>
        <w:t>each with a par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consisting of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classes: 500,000,000 shares of common stock,</w:t>
      </w:r>
      <w:r>
        <w:rPr>
          <w:rFonts w:ascii="Times New Roman" w:cs="Times New Roman" w:eastAsia="Times New Roman" w:hAnsi="Times New Roman"/>
          <w:sz w:val="18"/>
          <w:szCs w:val="18"/>
          <w:i w:val="1"/>
          <w:iCs w:val="1"/>
          <w:color w:val="auto"/>
        </w:rPr>
        <w:t xml:space="preserve"> $0.001 </w:t>
      </w:r>
      <w:r>
        <w:rPr>
          <w:rFonts w:ascii="Times New Roman" w:cs="Times New Roman" w:eastAsia="Times New Roman" w:hAnsi="Times New Roman"/>
          <w:sz w:val="18"/>
          <w:szCs w:val="18"/>
          <w:i w:val="1"/>
          <w:iCs w:val="1"/>
          <w:u w:val="single" w:color="auto"/>
          <w:color w:val="auto"/>
        </w:rPr>
        <w:t>par value</w:t>
      </w:r>
      <w:r>
        <w:rPr>
          <w:rFonts w:ascii="Times New Roman" w:cs="Times New Roman" w:eastAsia="Times New Roman" w:hAnsi="Times New Roman"/>
          <w:sz w:val="18"/>
          <w:szCs w:val="18"/>
          <w:i w:val="1"/>
          <w:iCs w:val="1"/>
          <w:color w:val="auto"/>
        </w:rPr>
        <w:t xml:space="preserve"> per share, </w:t>
      </w:r>
      <w:r>
        <w:rPr>
          <w:rFonts w:ascii="Times New Roman" w:cs="Times New Roman" w:eastAsia="Times New Roman" w:hAnsi="Times New Roman"/>
          <w:sz w:val="18"/>
          <w:szCs w:val="18"/>
          <w:i w:val="1"/>
          <w:iCs w:val="1"/>
          <w:color w:val="auto"/>
          <w:strike w:val="1"/>
        </w:rPr>
        <w:t>all of which shares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18"/>
          <w:szCs w:val="18"/>
          <w:i w:val="1"/>
          <w:iCs w:val="1"/>
          <w:u w:val="single" w:color="auto"/>
          <w:color w:val="auto"/>
        </w:rPr>
        <w:t>”), and 50,000,000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shares of preferred stock, $0.001 par value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Paragraph (B)(1) of Article IV is amended as follows:</w:t>
      </w:r>
    </w:p>
    <w:p>
      <w:pPr>
        <w:spacing w:after="0" w:line="113" w:lineRule="exact"/>
        <w:rPr>
          <w:sz w:val="20"/>
          <w:szCs w:val="20"/>
          <w:color w:val="auto"/>
        </w:rPr>
      </w:pPr>
    </w:p>
    <w:p>
      <w:pPr>
        <w:ind w:left="560" w:right="12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i w:val="1"/>
          <w:iCs w:val="1"/>
          <w:color w:val="auto"/>
        </w:rPr>
        <w:t>. Subject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i w:val="1"/>
          <w:iCs w:val="1"/>
          <w:u w:val="single" w:color="auto"/>
          <w:color w:val="auto"/>
        </w:rPr>
        <w:t>, if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strike w:val="1"/>
        </w:rPr>
        <w:t>all classes of stock at the time outstanding having prior rights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a class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series of stock having a preference senior to or right to participate with the Common Stock with respect</w:t>
      </w:r>
      <w:r>
        <w:rPr>
          <w:rFonts w:ascii="Times New Roman" w:cs="Times New Roman" w:eastAsia="Times New Roman" w:hAnsi="Times New Roman"/>
          <w:sz w:val="18"/>
          <w:szCs w:val="18"/>
          <w:i w:val="1"/>
          <w:iCs w:val="1"/>
          <w:color w:val="auto"/>
        </w:rPr>
        <w:t xml:space="preserve"> to dividends, the holders of the Common Stock shall be entitled to receive, when, as and if declared by the Board of Directors, out of any assets of the Corporation legally available therefor, such dividends as may be declared from time to time by the Board of Directors.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(3) Paragraph (B)(2) of Article IV is amended as follows:</w:t>
      </w:r>
    </w:p>
    <w:p>
      <w:pPr>
        <w:spacing w:after="0" w:line="113" w:lineRule="exact"/>
        <w:rPr>
          <w:sz w:val="20"/>
          <w:szCs w:val="20"/>
          <w:color w:val="auto"/>
        </w:rPr>
      </w:pPr>
    </w:p>
    <w:p>
      <w:pPr>
        <w:ind w:left="560"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i w:val="1"/>
          <w:iCs w:val="1"/>
          <w:color w:val="auto"/>
        </w:rPr>
        <w:t>. Upon the liquidation, dissolution or winding up of the Corporation, or the occurrence of a Liquidation Transaction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defined below), </w:t>
      </w:r>
      <w:r>
        <w:rPr>
          <w:rFonts w:ascii="Times New Roman" w:cs="Times New Roman" w:eastAsia="Times New Roman" w:hAnsi="Times New Roman"/>
          <w:sz w:val="18"/>
          <w:szCs w:val="18"/>
          <w:i w:val="1"/>
          <w:iCs w:val="1"/>
          <w:u w:val="single" w:color="auto"/>
          <w:color w:val="auto"/>
        </w:rPr>
        <w:t>subject to the rights, if any, of the holders of a class or series of stock having a preference senior to or right to participate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Common Stock upon a liquidation, dissolution or winding up of the Corporation or the occurrence of a Liquidation Transaction,</w:t>
      </w:r>
      <w:r>
        <w:rPr>
          <w:rFonts w:ascii="Times New Roman" w:cs="Times New Roman" w:eastAsia="Times New Roman" w:hAnsi="Times New Roman"/>
          <w:sz w:val="18"/>
          <w:szCs w:val="18"/>
          <w:i w:val="1"/>
          <w:iCs w:val="1"/>
          <w:color w:val="auto"/>
        </w:rPr>
        <w:t xml:space="preserve"> the assets of the Corporation available for distribution to stockholders </w:t>
      </w:r>
      <w:r>
        <w:rPr>
          <w:rFonts w:ascii="Times New Roman" w:cs="Times New Roman" w:eastAsia="Times New Roman" w:hAnsi="Times New Roman"/>
          <w:sz w:val="18"/>
          <w:szCs w:val="18"/>
          <w:i w:val="1"/>
          <w:iCs w:val="1"/>
          <w:u w:val="single" w:color="auto"/>
          <w:color w:val="auto"/>
        </w:rPr>
        <w:t>(or the consideration received by the Corporation or its stockholders in a Liquidation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Transaction)</w:t>
      </w:r>
      <w:r>
        <w:rPr>
          <w:rFonts w:ascii="Times New Roman" w:cs="Times New Roman" w:eastAsia="Times New Roman" w:hAnsi="Times New Roman"/>
          <w:sz w:val="18"/>
          <w:szCs w:val="18"/>
          <w:i w:val="1"/>
          <w:iCs w:val="1"/>
          <w:color w:val="auto"/>
        </w:rPr>
        <w:t xml:space="preserve"> shall be distributed among the holders of the Common Stock pro rata based on the number of shares of Common Stock held by each. For purposes of this Section 2, a “Liquidation Transaction” shall be deemed to occur if the Corporation shall sell, lease or otherwise dispose of all or substantially all of the assets of the Corporation, or sell, exclusively license, convey, exchange or otherwise transfer all or substantially all of the intellectual property of the Corporation, or merge with or into or consolidate with any other corporation, limited liability company or other entity (other than a wholly-owned subsidiary of the Corporation), provided that none of the following shall be considered a Liquidation Transaction: (A) a merger effected exclusively for the purpose of changing the domicile of the Corporation or (B) a bona fide equity financing in which the Corporation is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82"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7" w:lineRule="exact"/>
        <w:rPr>
          <w:sz w:val="20"/>
          <w:szCs w:val="20"/>
          <w:color w:val="auto"/>
        </w:rPr>
      </w:pPr>
    </w:p>
    <w:p>
      <w:pPr>
        <w:ind w:left="560" w:right="420"/>
        <w:spacing w:after="0" w:line="261" w:lineRule="auto"/>
        <w:rPr>
          <w:sz w:val="20"/>
          <w:szCs w:val="20"/>
          <w:color w:val="auto"/>
        </w:rPr>
      </w:pPr>
      <w:r>
        <w:rPr>
          <w:rFonts w:ascii="Times New Roman" w:cs="Times New Roman" w:eastAsia="Times New Roman" w:hAnsi="Times New Roman"/>
          <w:sz w:val="18"/>
          <w:szCs w:val="18"/>
          <w:i w:val="1"/>
          <w:iCs w:val="1"/>
          <w:color w:val="auto"/>
        </w:rPr>
        <w:t>the surviving corporation or (C) a transaction in which the securities held by the stockholders of the Corporation immediately prior to the transaction represent 50% or more of the voting power of the surviving corporation following the transaction. Nothing in this Section 2 shall require the distribution to stockholders of anything other than proceeds of such transaction in the event of a merger or consolidation of the Corporation.”</w:t>
      </w:r>
    </w:p>
    <w:p>
      <w:pPr>
        <w:spacing w:after="0" w:line="7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(4) Paragraph (B)(4) of Article IV is amended as follows:</w:t>
      </w:r>
    </w:p>
    <w:p>
      <w:pPr>
        <w:spacing w:after="0" w:line="113"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Rights and Powers</w:t>
      </w:r>
      <w:r>
        <w:rPr>
          <w:rFonts w:ascii="Times New Roman" w:cs="Times New Roman" w:eastAsia="Times New Roman" w:hAnsi="Times New Roman"/>
          <w:sz w:val="18"/>
          <w:szCs w:val="18"/>
          <w:i w:val="1"/>
          <w:iCs w:val="1"/>
          <w:color w:val="auto"/>
        </w:rPr>
        <w:t>. Each holder of Common Stock shall be entitled to the right to one vote per share of Common Stock, to notice of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meeting in accordance with the Bylaws of the Corporation, and shall be entitled to vote upon such matters and in such manner as may be provided by law</w:t>
      </w:r>
      <w:r>
        <w:rPr>
          <w:rFonts w:ascii="Times New Roman" w:cs="Times New Roman" w:eastAsia="Times New Roman" w:hAnsi="Times New Roman"/>
          <w:sz w:val="18"/>
          <w:szCs w:val="18"/>
          <w:i w:val="1"/>
          <w:iCs w:val="1"/>
          <w:u w:val="single" w:color="auto"/>
          <w:color w:val="auto"/>
        </w:rPr>
        <w:t>; provided, however, that, except as otherwise required by applicable law, holders of Common Stock shall not be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vote on any amendment to this Amended and Restated Certificate of Incorporation (as amended from time to time, the “</w:t>
      </w:r>
      <w:r>
        <w:rPr>
          <w:rFonts w:ascii="Times New Roman" w:cs="Times New Roman" w:eastAsia="Times New Roman" w:hAnsi="Times New Roman"/>
          <w:sz w:val="18"/>
          <w:szCs w:val="18"/>
          <w:u w:val="single" w:color="auto"/>
          <w:color w:val="auto"/>
        </w:rPr>
        <w:t>Restated Certificate</w:t>
      </w:r>
      <w:r>
        <w:rPr>
          <w:rFonts w:ascii="Times New Roman" w:cs="Times New Roman" w:eastAsia="Times New Roman" w:hAnsi="Times New Roman"/>
          <w:sz w:val="18"/>
          <w:szCs w:val="18"/>
          <w:i w:val="1"/>
          <w:iCs w:val="1"/>
          <w:u w:val="single" w:color="auto"/>
          <w:color w:val="auto"/>
        </w:rPr>
        <w:t>”), including any certificate of designation filed with respect to any series of Preferred Stock, that relates solely to the terms of one or more outstanding series of Preferred Stock if the holders of such affected series of Preferred Stock are entitled, either separately or together as a class with the holders of one or more other affected series of Preferred Stock, to vote thereon pursuant to applicable law or the Restated Certificate (including any certificate of designation filed with respect to any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strike w:val="1"/>
        </w:rPr>
        <w:t>The number of authorized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strike w:val="1"/>
        </w:rPr>
        <w:t xml:space="preserve">may be increased or decreased (but not below the number of shares thereof then outstanding) by the affirmative vote of the holders of shares of stock of the Corporation representing a majority of the votes represented by all outstanding shares of stock of the Corporation entitled to vote, </w:t>
      </w:r>
      <w:r>
        <w:rPr>
          <w:rFonts w:ascii="Times New Roman" w:cs="Times New Roman" w:eastAsia="Times New Roman" w:hAnsi="Times New Roman"/>
          <w:sz w:val="18"/>
          <w:szCs w:val="18"/>
          <w:color w:val="auto"/>
          <w:strike w:val="1"/>
        </w:rPr>
        <w:t>irrespective of the provisions of Section 242(b)(2) of the Delaware General Corporation Law.”</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(5) Article IV is hereby amended by adding at the end of such Article a new Paragraph (C), to read in full as follows:</w:t>
      </w:r>
    </w:p>
    <w:p>
      <w:pPr>
        <w:spacing w:after="0" w:line="113" w:lineRule="exact"/>
        <w:rPr>
          <w:sz w:val="20"/>
          <w:szCs w:val="20"/>
          <w:color w:val="auto"/>
        </w:rPr>
      </w:pPr>
    </w:p>
    <w:p>
      <w:pPr>
        <w:ind w:left="5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u w:val="single" w:color="auto"/>
          <w:color w:val="auto"/>
        </w:rPr>
        <w:t>Preferred Stock</w:t>
      </w:r>
      <w:r>
        <w:rPr>
          <w:rFonts w:ascii="Times New Roman" w:cs="Times New Roman" w:eastAsia="Times New Roman" w:hAnsi="Times New Roman"/>
          <w:sz w:val="18"/>
          <w:szCs w:val="18"/>
          <w:i w:val="1"/>
          <w:iCs w:val="1"/>
          <w:u w:val="single" w:color="auto"/>
          <w:color w:val="auto"/>
        </w:rPr>
        <w:t>. The Preferred Stock may be issued from time to time in one or more series. The Board of Directors of the Corporation is hereby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expressly authorized to provide for the issue of all or any of the unissued and undesignated shares of the Preferred Stock, in one or more series, and to fix the number of shares of such series and to determine for each such series, such voting powers, full or limited, or no voting powers, and such designation, preferences, and relative, participating, optional, or other rights and such qualifications, limitations, or restrictions thereof, as shall be set forth in a certificate of designation adopted by the Board of Directors and filed in accordance with the Delaware General Corporation Law</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(6) Article IV is hereby amended by adding at the end of such Article a new Paragraph (D), to read in full as follows:</w:t>
      </w:r>
    </w:p>
    <w:p>
      <w:pPr>
        <w:spacing w:after="0" w:line="113" w:lineRule="exact"/>
        <w:rPr>
          <w:sz w:val="20"/>
          <w:szCs w:val="20"/>
          <w:color w:val="auto"/>
        </w:rPr>
      </w:pPr>
    </w:p>
    <w:p>
      <w:pPr>
        <w:ind w:left="560" w:right="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Certain Amendments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The number of authorized shares of Preferred Stock and Common Stock may be increased or decreased (but not below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number of shares thereof then outstanding) by the affirmative vote of the holders of shares of stock of the Corporation representing a majority of the votes represented by all outstanding shares of stock of the Corporation entitled to vote thereon, without a separate vote of the holders of the Preferred Stock or Common Stock, respectively, unless a vote of any such holders is required pursuant to the terms of any certificate of designation filed with respect to any series of Preferred Stock. For the avoidance of doubt, but subject to the rights of the holders of any outstanding series of Preferred Stock, Section 242(d) of the Delaware General Corporation Law shall apply to amendments to this Restated Certificate</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560" w:right="420" w:hanging="4"/>
        <w:spacing w:after="0" w:line="266" w:lineRule="auto"/>
        <w:tabs>
          <w:tab w:leader="none" w:pos="8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XI is hereby amended by adding the following clause at the beginning of each paragraph of that Article (which will include a new Paragraph (B) thereof if Proposal 16 and the amendment contemplated thereby is approved by stockholders and becomes effective prior to effectiveness of the Preferred Stock Amendment):</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Subject to any rights of the holders of shares of any series of Preferred Stock then outstanding,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currently authorizes us to issue up to 100,000,000 shares of Common Stock, with a par value of $0.001. The Preferred Stock Amendment is conditional on approval of Proposal 14, which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would, if approved by stockholders, increase the authorized number of shares of our Common Stock from 100,000,000 shares to 500,000,000 shares.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Preferred Stock Amendment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“Blank check” preferred stock is commonly authorized by companies publicly traded in the United States, including substantially all of the companies in our 2023 peer group (see “</w:t>
      </w:r>
      <w:r>
        <w:rPr>
          <w:rFonts w:ascii="Times New Roman" w:cs="Times New Roman" w:eastAsia="Times New Roman" w:hAnsi="Times New Roman"/>
          <w:sz w:val="18"/>
          <w:szCs w:val="18"/>
          <w:i w:val="1"/>
          <w:iCs w:val="1"/>
          <w:color w:val="auto"/>
        </w:rPr>
        <w:t>Executive Compensation—Compensation Discussion and Analysis</w:t>
      </w:r>
      <w:r>
        <w:rPr>
          <w:rFonts w:ascii="Times New Roman" w:cs="Times New Roman" w:eastAsia="Times New Roman" w:hAnsi="Times New Roman"/>
          <w:sz w:val="18"/>
          <w:szCs w:val="18"/>
          <w:color w:val="auto"/>
        </w:rPr>
        <w:t>”) and approval is being sought to provide us with increased financial flexibility in meeting future capital requirements and to utilize preferred stock in response to rapidly developing acquisition and corporate financing opportunities as well as to advance our business plan. It is anticipated that the purposes for which such preferred stock may be issued include, without limitation, exchanging preferred stock for common stock, the issuance of preferred stock for cash as a means of obtaining working capital, or issuance of preferred stock as part or all of the consideration required to be paid by us for acquisitions of other businesses or assets. No specific shares of preferred stock are being designated at this time, and we do not currently have any plans to issue shares of preferred stock.</w:t>
      </w:r>
    </w:p>
    <w:p>
      <w:pPr>
        <w:spacing w:after="0" w:line="18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Preferred Stock Amendment, declared the amendment advisable and in the best interests of the Company and our stockholders, approved and adopted the amendment, unanimously resolved to submit the Preferred Stock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Preferred Stock Amendment</w:t>
      </w:r>
    </w:p>
    <w:p>
      <w:pPr>
        <w:spacing w:after="0" w:line="12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Preferred Stock Amendment will give our Board flexibility, without further stockholder action, except as otherwise required by law or the rules of any national securities exchange in the United States on which we may list, to issue preferred stock on such terms and conditions as our Board deems to be in the best interests of our stockholders Although the Preferred Stock Amendment is not motivated by anti-takeover concerns, the availability of authorized shares of preferred stock could enable the Board to issue shares defensively in response to a takeover attempt or to make an attempt to gain control of the Company more difficult, which could have the effect of discouraging unsolicited takeover attempts. The Board is required to make any determination to issue shares of Common Stock or preferred stock based on its judgment as to the best interests of the stockholders and the Company. However, in certain circumstances, issuing preferred stock without further action by the stockholders may delay or prevent a change of control of the Company, may discourage bids for the Company’s Common Stock or preferred stock at a premium over the market price of the Common Stock or preferred stock and may adversely affect the market price of the Common Stock or preferred stock. Thus, authorizing “blank check” preferred stock could render more difficult and less likely a hostile merger, tender offer or proxy contest, assumption of control by a holder of a large block of our stock, and the possible removal of our incumbent management. We are not aware of any proposed attempt to take over the Company.</w:t>
      </w:r>
    </w:p>
    <w:p>
      <w:pPr>
        <w:spacing w:after="0" w:line="19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the Board determines to undertake a public offering in the United States, the Board also anticipates approving certain amendments to the Company’s Bylaws, which would include conforming changes to reflect any amendments to the Certificate of Incorporation that are approved by stockholders at the Annual Meeting and become effective, and may include such further changes, including additional anti-takeover measures, that the Board believes to be in the best interests of the Company and our stockholders. For a discussion of anti-takeover measures previously adopted by and applicable to the Company, see the section titled “</w:t>
      </w:r>
      <w:r>
        <w:rPr>
          <w:rFonts w:ascii="Times New Roman" w:cs="Times New Roman" w:eastAsia="Times New Roman" w:hAnsi="Times New Roman"/>
          <w:sz w:val="18"/>
          <w:szCs w:val="18"/>
          <w:i w:val="1"/>
          <w:iCs w:val="1"/>
          <w:color w:val="auto"/>
        </w:rPr>
        <w:t>Anti-Takeover Effects of Delaware Law and Our Certificate of Incorporation and Bylaws</w:t>
      </w:r>
      <w:r>
        <w:rPr>
          <w:rFonts w:ascii="Times New Roman" w:cs="Times New Roman" w:eastAsia="Times New Roman" w:hAnsi="Times New Roman"/>
          <w:sz w:val="18"/>
          <w:szCs w:val="18"/>
          <w:color w:val="auto"/>
        </w:rPr>
        <w:t>” in our Amendment No. 2 to Form 10, as filed with the SEC on July 5, 2022.</w:t>
      </w:r>
    </w:p>
    <w:p>
      <w:pPr>
        <w:spacing w:after="0" w:line="18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When authorizing and issuing a series of preferred stock, the Board would determine all designations, relative rights, preference, and limitations of such stock including but not limited to the following: designation of series and numbers of shares; dividend rights; rights upon liquidation or distribution of assets of the Company; conversion or exchange rights; redemption provisions; sinking fund provisions; and voting rights. While we may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consider effecting an equity offering of preferred stock or otherwise issuing such stock in the future, as of the date hereof, we have no agreements or understandings with any third party to effect any such offering or issuance, and no assurances are given that any offering will in fact be effected or that any issuance will be proposed and consummated. Therefore, the terms of any preferred stock subject to this proposal cannot be stated or estimated with respect to any or all of the securities authorized.</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dilute both the equity interests and the earnings per share of existing holders of our Common Stock. Such dilution may be substantial, depending upon the amount of shares issued. The newly authorized shares of preferred stock could also have voting rights superior to our Common Stock, and therefore would have a dilutive effect on the voting power of our existing stockholders. The issuance of preferred stock could also affect the number of dividends, if any, paid our stockholders and may reduce the share of the proceeds that they would receive upon a future liquidation of our company.</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changes will be made to the Certificate of Incorporation with respect to the authorization of a series of preferred stock of the Company and the Preferred Stock Amendment will not become effective.</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Preferred Stock Amendment without further action by our stockholders at any time before the effectiveness thereof, even if the Preferred Stock Amendment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15 will require the affirmative vote of the holders of a majority of the outstanding shares of Common Stock.</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15.</w:t>
      </w:r>
    </w:p>
    <w:p>
      <w:pPr>
        <w:spacing w:after="0" w:line="1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60"/>
          </w:cols>
          <w:pgMar w:left="320" w:top="482"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16</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AMENDMENT TO CERTIFICATE OF INCORPORATION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AMEND AUTHORITY TO CALL A SPECIAL MEETING</w:t>
      </w:r>
    </w:p>
    <w:p>
      <w:pPr>
        <w:spacing w:after="0" w:line="207"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On April 1, 2024, our Board adopted a resolution approving, subject to stockholder approval, an amendment to the Certificate of Incorporation to permit the Chairperson of the Board, the Board, or the Chief Executive Officer of the Company to call a special meeting of our stockholders, with the effect of removing the ability of certain stockholders to call a special meeting (the “Special Meeting Amendment”).</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If stockholders approve this proposal, we expect to file a certificate of amendment with the Secretary of State of the State of Delaware setting forth the Special Meeting Amendment (and any other amendment contemplated by Proposals 14, 17 and 18 that is approved by stockholders) as soon as is practicable following stockholder approval. Upon the filing of such certificate of amendment with the Secretary of State of the State of Delaware, the underlined paragraph B would be added to Article XI our Certificate of Incorporation such that Article XI would read as follows:</w:t>
      </w:r>
    </w:p>
    <w:p>
      <w:pPr>
        <w:spacing w:after="0" w:line="70"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i w:val="1"/>
          <w:iCs w:val="1"/>
          <w:color w:val="auto"/>
        </w:rPr>
        <w:t>“(A)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58" w:lineRule="exact"/>
        <w:rPr>
          <w:sz w:val="20"/>
          <w:szCs w:val="20"/>
          <w:color w:val="auto"/>
        </w:rPr>
      </w:pPr>
    </w:p>
    <w:p>
      <w:pPr>
        <w:ind w:left="120" w:right="60" w:hanging="4"/>
        <w:spacing w:after="0" w:line="261" w:lineRule="auto"/>
        <w:tabs>
          <w:tab w:leader="none" w:pos="395" w:val="left"/>
        </w:tabs>
        <w:numPr>
          <w:ilvl w:val="0"/>
          <w:numId w:val="33"/>
        </w:numPr>
        <w:rPr>
          <w:rFonts w:ascii="Times New Roman" w:cs="Times New Roman" w:eastAsia="Times New Roman" w:hAnsi="Times New Roman"/>
          <w:sz w:val="18"/>
          <w:szCs w:val="18"/>
          <w:i w:val="1"/>
          <w:iCs w:val="1"/>
          <w:u w:val="single" w:color="auto"/>
          <w:color w:val="auto"/>
        </w:rPr>
      </w:pPr>
      <w:r>
        <w:rPr>
          <w:rFonts w:ascii="Times New Roman" w:cs="Times New Roman" w:eastAsia="Times New Roman" w:hAnsi="Times New Roman"/>
          <w:sz w:val="18"/>
          <w:szCs w:val="18"/>
          <w:i w:val="1"/>
          <w:iCs w:val="1"/>
          <w:u w:val="single" w:color="auto"/>
          <w:color w:val="auto"/>
        </w:rPr>
        <w:t>Special meetings of stockholders of the Corporation may be called only by the Chairperson of the Board of Directors, the Chief Executive Officer, the President or the Board of Directors,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Special Meeting Amendment</w:t>
      </w:r>
    </w:p>
    <w:p>
      <w:pPr>
        <w:spacing w:after="0" w:line="12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Like most public companies, Life360 holds an annual stockholder meeting to elect directors and to address various other corporate matters. Preparing for and holding stockholder meetings consumes substantial management, legal and administrative time and resources, and temporarily diverts the focus of the Board and senior management away from managing the Company. Stockholder meetings also impose significant financial costs on the Company, such as third-party expenditures associated with preparing, printing, filing and mailing required proxy materials and holding the meeting. As a result, the Board believes that special meetings should be extraordinary events that are held only when fiduciary, strategic, transactional or similar considerations dictate that a matter is so critical or time sensitive that it must be addressed immediately, rather than at the next annual meeting. Most of the companies in our 2023 peer group (see “</w:t>
      </w:r>
      <w:r>
        <w:rPr>
          <w:rFonts w:ascii="Times New Roman" w:cs="Times New Roman" w:eastAsia="Times New Roman" w:hAnsi="Times New Roman"/>
          <w:sz w:val="17"/>
          <w:szCs w:val="17"/>
          <w:i w:val="1"/>
          <w:iCs w:val="1"/>
          <w:color w:val="auto"/>
        </w:rPr>
        <w:t>Executive Compensation—Compensation Discussion and Analysis</w:t>
      </w:r>
      <w:r>
        <w:rPr>
          <w:rFonts w:ascii="Times New Roman" w:cs="Times New Roman" w:eastAsia="Times New Roman" w:hAnsi="Times New Roman"/>
          <w:sz w:val="17"/>
          <w:szCs w:val="17"/>
          <w:color w:val="auto"/>
        </w:rPr>
        <w:t>”) do not permit stockholders to call a special meeting.</w:t>
      </w:r>
    </w:p>
    <w:p>
      <w:pPr>
        <w:spacing w:after="0" w:line="17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Board believes that annual stockholder meetings are the most appropriate forum for stockholders to submit proposals and raise issues stockholders believe should be voted upon. Because Life360’s annual meetings are regularly held and scheduled well in advance, stockholders are able to plan to express their concerns and are afforded ample opportunity to do so within this setting. Stockholders can use the Company’s annual meeting to communicate their concerns to other stockholders, the Board and management, including through the submission of stockholder proposals to be included in the Company’s proxy statement or otherwise presented at the meeting. Stockholders are also encouraged to submit questions or requests for information directly to the Company. For more information, see the section titled “</w:t>
      </w:r>
      <w:r>
        <w:rPr>
          <w:rFonts w:ascii="Times New Roman" w:cs="Times New Roman" w:eastAsia="Times New Roman" w:hAnsi="Times New Roman"/>
          <w:sz w:val="18"/>
          <w:szCs w:val="18"/>
          <w:i w:val="1"/>
          <w:iCs w:val="1"/>
          <w:color w:val="auto"/>
        </w:rPr>
        <w:t>Communications With The Board of Directors</w:t>
      </w:r>
      <w:r>
        <w:rPr>
          <w:rFonts w:ascii="Times New Roman" w:cs="Times New Roman" w:eastAsia="Times New Roman" w:hAnsi="Times New Roman"/>
          <w:sz w:val="18"/>
          <w:szCs w:val="18"/>
          <w:color w:val="auto"/>
        </w:rPr>
        <w:t>” of this proxy statement. In the unlikely event that an extraordinary matter arises requiring immediate formal stockholder action before the next annual meeting, the Bylaws provide that our Chief Executive Officer, the Chairperson of the Board, the President or the Board, whose members are bound by fiduciary duties to act in the best interest of all stockholders, may call a special meeting of stockholders.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Stockholders can be assured that their right to be apprised of and vote on significant matters is also protected by state law and stock exchange rules. Delaware laws require that major corporate actions, such as a merger or a sale of substantially all of our assets, be approved by stockholders holding at least a majority of our outstanding stock. Also, because the Company is listed on the ASX, the Company must obtain stockholder approval for certain actions regarding equity compensation plans and significant issuances of securities.</w:t>
      </w:r>
    </w:p>
    <w:p>
      <w:pPr>
        <w:spacing w:after="0" w:line="180"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Special Meeting Amendment, declared the amendment advisable and in the best interests of the Company and our stockholders, approved and adopted the amendment, unanimously resolved to submit the Special Meeting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the Special Meeting Amendment</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Our current Bylaws permit the Board, the Chairperson of the Board, the Chief Executive Officer, the President, or one or more stockholders holding 10% or more of the votes entitled to be cast on an issue to call a special meeting of our stockholders. The DGCL permits special meetings to be called by the Board or by such persons authorized by a company’s certificate of incorporation or bylaws.</w:t>
      </w:r>
    </w:p>
    <w:p>
      <w:pPr>
        <w:spacing w:after="0" w:line="176"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certificate of amendment to the Certificate of Incorporation will permit the Board, the Chairperson of the Board, or the Chief Executive Officer, or the President to call a special meeting of our stockholders. Pursuant to the DGCL, the Certificate of Incorporation will supersede our current Bylaws, which will have the effect of removing the right of holders of 10% of the votes entitled to be cast to call a special meeting of our stockholders. If this proposal is approved, the Board intends to make a corresponding amendment to our current Bylaws.</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Although this proposal to approve the Special Meeting Amendment was prompted by business and financial considerations and not by the threat of any hostile takeover attempt, the inability of stockholders holding 10% or more of our stock to call a special meeting may delay or prevent hostile takeovers or changes in control.</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the Board determines to undertake a public offering in the United States, the Board also anticipates approving certain amendments to the Company’s Bylaws, which would include conforming changes to reflect any amendments to the Certificate of Incorporation that are approved by stockholders at the Annual Meeting and become effective, and may include such further changes, including additional anti-takeover measures, that the Board believes to be in the best interests of the Company and our stockholders. For a discussion of anti-takeover measures previously adopted by and applicable to the Company, see the section titled “</w:t>
      </w:r>
      <w:r>
        <w:rPr>
          <w:rFonts w:ascii="Times New Roman" w:cs="Times New Roman" w:eastAsia="Times New Roman" w:hAnsi="Times New Roman"/>
          <w:sz w:val="18"/>
          <w:szCs w:val="18"/>
          <w:i w:val="1"/>
          <w:iCs w:val="1"/>
          <w:color w:val="auto"/>
        </w:rPr>
        <w:t>Anti-Takeover Effects of Delaware Law and Our Certificate of Incorporation and Bylaws</w:t>
      </w:r>
      <w:r>
        <w:rPr>
          <w:rFonts w:ascii="Times New Roman" w:cs="Times New Roman" w:eastAsia="Times New Roman" w:hAnsi="Times New Roman"/>
          <w:sz w:val="18"/>
          <w:szCs w:val="18"/>
          <w:color w:val="auto"/>
        </w:rPr>
        <w:t>” in our Amendment No. 2 to Form 10, as filed with the SEC on July 5, 2022.</w:t>
      </w:r>
    </w:p>
    <w:p>
      <w:pPr>
        <w:spacing w:after="0" w:line="18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the proposal, no changes will be made to the Certificate of Incorporation with respect to the ability to call a special meeting and the Special Meeting Amendment will not become effective.</w:t>
      </w:r>
    </w:p>
    <w:p>
      <w:pPr>
        <w:spacing w:after="0" w:line="162"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Special Meeting Amendment without further action by our stockholders at any time before the effectiveness thereof, even if the Special Meeting Amendment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16 will require the affirmative vote of the holders of a majority of the outstanding shares of Common Stock.</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16.</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82"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PROPOSAL 17</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APPROVAL OF AMENDMENT TO CERTIFICATE OF INCORPORATION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REFLECT DELAWARE LAW PROVISIONS REGARDING EXCULPATION OF OFFICERS</w:t>
      </w:r>
    </w:p>
    <w:p>
      <w:pPr>
        <w:spacing w:after="0" w:line="207"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On April 1, 2024, our Board adopted a resolution approving, subject to stockholder approval, an amendment to the Certificate of Incorporation to eliminate or limit the liability of the Company’s officers to the extent permitted under Delaware law (the “Officer Exculpation Amendment”). If stockholders approve this proposal, we expect to file a certificate of amendment to our Certificate of Incorporation with the Secretary of State of the State of Delaware setting forth the Officer Exculpation Amendment (and any other amendment contemplated by proposals 14, 16 and 18 that is approved by stockholders) as soon as is practicable following such approval. Upon the filing of such certificate of amendment with the Secretary of State of the State of Delaware, paragraphs A and D of Article IX of our Certificate of Incorporation would read as follows:</w:t>
      </w:r>
    </w:p>
    <w:p>
      <w:pPr>
        <w:spacing w:after="0" w:line="77" w:lineRule="exact"/>
        <w:rPr>
          <w:sz w:val="20"/>
          <w:szCs w:val="20"/>
          <w:color w:val="auto"/>
        </w:rPr>
      </w:pPr>
    </w:p>
    <w:p>
      <w:pPr>
        <w:ind w:left="120" w:right="60" w:hanging="4"/>
        <w:spacing w:after="0" w:line="258" w:lineRule="auto"/>
        <w:tabs>
          <w:tab w:leader="none" w:pos="39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“To the fullest extent permitted by the Delaware General Corporation Law, as the same exists or as may hereafter be amended, </w:t>
      </w:r>
      <w:r>
        <w:rPr>
          <w:rFonts w:ascii="Times New Roman" w:cs="Times New Roman" w:eastAsia="Times New Roman" w:hAnsi="Times New Roman"/>
          <w:sz w:val="18"/>
          <w:szCs w:val="18"/>
          <w:i w:val="1"/>
          <w:iCs w:val="1"/>
          <w:color w:val="auto"/>
          <w:strike w:val="1"/>
        </w:rPr>
        <w: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no</w:t>
      </w:r>
      <w:r>
        <w:rPr>
          <w:rFonts w:ascii="Times New Roman" w:cs="Times New Roman" w:eastAsia="Times New Roman" w:hAnsi="Times New Roman"/>
          <w:sz w:val="18"/>
          <w:szCs w:val="18"/>
          <w:i w:val="1"/>
          <w:iCs w:val="1"/>
          <w:color w:val="auto"/>
        </w:rPr>
        <w:t xml:space="preserve"> director </w:t>
      </w:r>
      <w:r>
        <w:rPr>
          <w:rFonts w:ascii="Times New Roman" w:cs="Times New Roman" w:eastAsia="Times New Roman" w:hAnsi="Times New Roman"/>
          <w:sz w:val="18"/>
          <w:szCs w:val="18"/>
          <w:i w:val="1"/>
          <w:iCs w:val="1"/>
          <w:u w:val="single" w:color="auto"/>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officer</w:t>
      </w:r>
      <w:r>
        <w:rPr>
          <w:rFonts w:ascii="Times New Roman" w:cs="Times New Roman" w:eastAsia="Times New Roman" w:hAnsi="Times New Roman"/>
          <w:sz w:val="18"/>
          <w:szCs w:val="18"/>
          <w:i w:val="1"/>
          <w:iCs w:val="1"/>
          <w:color w:val="auto"/>
        </w:rPr>
        <w:t xml:space="preserve"> of the Corporation shall </w:t>
      </w:r>
      <w:r>
        <w:rPr>
          <w:rFonts w:ascii="Times New Roman" w:cs="Times New Roman" w:eastAsia="Times New Roman" w:hAnsi="Times New Roman"/>
          <w:sz w:val="18"/>
          <w:szCs w:val="18"/>
          <w:i w:val="1"/>
          <w:iCs w:val="1"/>
          <w:color w:val="auto"/>
          <w:strike w:val="1"/>
        </w:rPr>
        <w:t>not</w:t>
      </w:r>
      <w:r>
        <w:rPr>
          <w:rFonts w:ascii="Times New Roman" w:cs="Times New Roman" w:eastAsia="Times New Roman" w:hAnsi="Times New Roman"/>
          <w:sz w:val="18"/>
          <w:szCs w:val="18"/>
          <w:i w:val="1"/>
          <w:iCs w:val="1"/>
          <w:color w:val="auto"/>
        </w:rPr>
        <w:t xml:space="preserve"> be personally liable to the Corporation or its stockholders for monetary damages for breach of fiduciary duty as a director or officer. </w:t>
      </w:r>
      <w:r>
        <w:rPr>
          <w:rFonts w:ascii="Times New Roman" w:cs="Times New Roman" w:eastAsia="Times New Roman" w:hAnsi="Times New Roman"/>
          <w:sz w:val="18"/>
          <w:szCs w:val="18"/>
          <w:i w:val="1"/>
          <w:iCs w:val="1"/>
          <w:u w:val="single" w:color="auto"/>
          <w:color w:val="auto"/>
        </w:rPr>
        <w:t>Any amendment, modification or repeal of the foregoing sentence shall not adversely affect any right or protection of a director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officer of the Corporation hereunder in respect of any act or omission occurring prior to the time of such amendment, modification or repeal. Solely for purposes of this Paragraph A, “officer” shall have the meaning provided in Section 102(b)(7) of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-307340</wp:posOffset>
            </wp:positionV>
            <wp:extent cx="4572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20" w:hanging="4"/>
        <w:spacing w:after="0" w:line="256" w:lineRule="auto"/>
        <w:tabs>
          <w:tab w:leader="none" w:pos="415"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color w:val="auto"/>
          <w:strike w:val="1"/>
        </w:rPr>
        <w:t>A director of the Corporation shall not be personally liable to the Corporation or its stockholders for monetary damages for breach of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auto"/>
          <w:strike w:val="1"/>
        </w:rPr>
        <w:t>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any improper personal benefit. If the Delaware General Corporation Law is amended after approval by the stockholders of this Article V to authorize Corporation action further eliminating or limiting the personal liability of directors then the liability of a director of the Corporation shall be eliminated or limited to the fullest extent permitted by the Delaware General Corporation Law as so amended.</w:t>
      </w:r>
      <w:r>
        <w:rPr>
          <w:rFonts w:ascii="Times New Roman" w:cs="Times New Roman" w:eastAsia="Times New Roman" w:hAnsi="Times New Roman"/>
          <w:sz w:val="18"/>
          <w:szCs w:val="18"/>
          <w:i w:val="1"/>
          <w:iCs w:val="1"/>
          <w:u w:val="single" w:color="auto"/>
          <w:color w:val="auto"/>
          <w:strike w:val="1"/>
        </w:rPr>
        <w:t>[Reserved]</w:t>
      </w:r>
      <w:r>
        <w:rPr>
          <w:rFonts w:ascii="Times New Roman" w:cs="Times New Roman" w:eastAsia="Times New Roman" w:hAnsi="Times New Roman"/>
          <w:sz w:val="18"/>
          <w:szCs w:val="18"/>
          <w:i w:val="1"/>
          <w:iCs w:val="1"/>
          <w:color w:val="auto"/>
          <w:strike w:val="1"/>
        </w:rPr>
        <w: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Providing for Officer Exculpation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Article IX of our Certificate of Incorporation currently eliminates the monetary liability of directors in certain circumstances pursuant to and consistent with the Delaware General Corporation Law (“DGCL”). Section 102(b)(7) of the DGCL was amended in 2022 to allow Delaware corporations to include in their certificates of incorporation provisions limiting the monetary liability of the certain officers for breach of the duty of care in certain actions. For both directors and officers, the liability limitation does not apply to breaches of the duty of loyalty, acts or omissions not in good faith or that involve intentional misconduct or a knowing violation of law, or any transaction in which the director or officer derived an improper personal benefit. In addition, for officers, amended Section 102(b)(7) only permits exculpation for direct claims brought by stockholders, as opposed to claims brought by or on behalf of the Company (e.g., derivative claims). Because the protections of Section 102(b)(7) of the DGCL do not apply automatically, a Delaware corporation seeking to extend the benefits of Section 102(b)(7) of the DGCL to its corporate officers must amend its certificate of incorporation.</w:t>
      </w:r>
    </w:p>
    <w:p>
      <w:pPr>
        <w:spacing w:after="0" w:line="188"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Stockholder plaintiffs have previously employed a tactic of bringing certain claims that would otherwise be exculpated if brought against directors, against individual officers to avoid dismissal of such claims and/or to drive companies toward settlements. The amendment to Section 102(b)(7) was adopted to address inconsistent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82"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treatment between officers and directors and address rising litigation and insurance costs for stockholders. As a result, adopting an officer exculpation provision that aligns with the protections afforded under the DGCL could prevent protracted or otherwise meritless litigation that distracts from our primary objective of creating stockholder value over the long term.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The Board believes that limiting concern about personal liability will empower officers to best exercise their business judgment in furtherance of stockholder interests without the distraction of potentially being subject to claims following actions taken in good faith.</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the Board believes it is important to provide protection to officers to the extent permitted by the DGCL to attract and retain executive talent. This protection has long been afforded to directors. Numerous other public companies have updated their governing documents to align with amended Section 102(b)(7) of the DGCL, and we expect this practice to continue. Therefore, our ability to attract and retain highly qualified officer candidates may be adversely impacted if we do not implement the expanded protections now offered under Delaware law.</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Officer Exculpation Amendment, declared the amendment advisable and in the best interests of the Company and our stockholders, approved and adopted the amendment, unanimously resolved to submit the Officer Exculpation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Effects of Providing Officer Exculpation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Officer Exculpation Amendment would provide for the elimination of personal monetary liability for certain officers only in connection with direct claims brought by stockholders, subject to certain limitations. As is the case with directors under the current Certificate of Incorporation, the amendment would not limit the liability of officers for any breach of the duty of loyalty to the Company or its stockholders, any acts or omissions not in good faith or which involve intentional misconduct or a knowing violation of the law, or any transaction from which the officer derived an improper personal benefit.</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changes will be made to the Certificate of Incorporation with respect to the limitation or elimination of liability of our officers and the Officer Exculpation Amendment will not become effective.</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Officer Exculpation Amendment without further action by our stockholders at any time before the effectiveness thereof, even if the Officer Exculpation Amendment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17 will require the affirmative vote of the holders of a majority of the outstanding shares of Common Stock.</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17.</w:t>
      </w:r>
    </w:p>
    <w:p>
      <w:pPr>
        <w:spacing w:after="0" w:line="15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18</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APPROVAL OF AMENDMENT TO CERTIFICATE OF INCORPORATION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PROVIDE FOR AN EXCLUSIVE FEDERAL FORUM</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On April 1, 2024, our Board adopted a resolution approving, subject to stockholder approval, an amendment to Certificate of Incorporation to add a new provision that, unless the Company selects or consents in writing to the selection of an alternative forum, the sole and exclusive forum for the resolution of any complainant asserting a cause of action arising under the U.S. Securities Act of 1933, as amended (the “Securities Act”) shall be the federal district courts of the United States of America (the “Federal Forum Selection Amendment”).</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If stockholders approve this proposal, we expect to file a certificate of amendment to our Certificate of Incorporation with the Secretary of State of the State of Delaware setting forth the Federal Forum Selection Amendment (and any other amendment contemplated by proposals 14, 16 and 17 that is approved by stockholders). Upon the filing of such certificate of amendment with the Secretary of State of the State of Delaware, Article X will be amended to read as follows:</w:t>
      </w:r>
    </w:p>
    <w:p>
      <w:pPr>
        <w:spacing w:after="0" w:line="70" w:lineRule="exact"/>
        <w:rPr>
          <w:sz w:val="20"/>
          <w:szCs w:val="20"/>
          <w:color w:val="auto"/>
        </w:rPr>
      </w:pPr>
    </w:p>
    <w:p>
      <w:pPr>
        <w:ind w:left="120" w:right="100" w:hanging="4"/>
        <w:spacing w:after="0" w:line="256" w:lineRule="auto"/>
        <w:tabs>
          <w:tab w:leader="none" w:pos="395" w:val="left"/>
        </w:tabs>
        <w:numPr>
          <w:ilvl w:val="0"/>
          <w:numId w:val="36"/>
        </w:numPr>
        <w:rPr>
          <w:rFonts w:ascii="Times New Roman" w:cs="Times New Roman" w:eastAsia="Times New Roman" w:hAnsi="Times New Roman"/>
          <w:sz w:val="18"/>
          <w:szCs w:val="18"/>
          <w:i w:val="1"/>
          <w:iCs w:val="1"/>
          <w:u w:val="single" w:color="auto"/>
          <w:color w:val="auto"/>
        </w:rPr>
      </w:pPr>
      <w:r>
        <w:rPr>
          <w:rFonts w:ascii="Times New Roman" w:cs="Times New Roman" w:eastAsia="Times New Roman" w:hAnsi="Times New Roman"/>
          <w:sz w:val="18"/>
          <w:szCs w:val="18"/>
          <w:i w:val="1"/>
          <w:iCs w:val="1"/>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or proceeding asserting a claim of breach of a fiduciary duty owed by any stockholder, director, officer, employee or agent of the Corporation to the Corporation or the Corporation’s stockholders, (iii) any action or proceeding asserting a claim against the Corporation arising pursuant to any provision of the Delaware General Corporation Law or the Corporation’s Certificate of Incorporation or Bylaws or (iv) any action or proceeding asserting a claim governed by the internal affairs doctrine, in each case subject to said Court of Chancery having personal jurisdiction over the indispensable parties named as defendants therein.”</w:t>
      </w:r>
    </w:p>
    <w:p>
      <w:pPr>
        <w:spacing w:after="0" w:line="182" w:lineRule="exact"/>
        <w:rPr>
          <w:rFonts w:ascii="Times New Roman" w:cs="Times New Roman" w:eastAsia="Times New Roman" w:hAnsi="Times New Roman"/>
          <w:sz w:val="18"/>
          <w:szCs w:val="18"/>
          <w:i w:val="1"/>
          <w:iCs w:val="1"/>
          <w:u w:val="single" w:color="auto"/>
          <w:color w:val="auto"/>
        </w:rPr>
      </w:pPr>
    </w:p>
    <w:p>
      <w:pPr>
        <w:ind w:left="120" w:right="100" w:hanging="4"/>
        <w:spacing w:after="0" w:line="257" w:lineRule="auto"/>
        <w:tabs>
          <w:tab w:leader="none" w:pos="395" w:val="left"/>
        </w:tabs>
        <w:numPr>
          <w:ilvl w:val="0"/>
          <w:numId w:val="36"/>
        </w:numPr>
        <w:rPr>
          <w:rFonts w:ascii="Times New Roman" w:cs="Times New Roman" w:eastAsia="Times New Roman" w:hAnsi="Times New Roman"/>
          <w:sz w:val="18"/>
          <w:szCs w:val="18"/>
          <w:i w:val="1"/>
          <w:iCs w:val="1"/>
          <w:u w:val="single" w:color="auto"/>
          <w:color w:val="auto"/>
        </w:rPr>
      </w:pPr>
      <w:r>
        <w:rPr>
          <w:rFonts w:ascii="Times New Roman" w:cs="Times New Roman" w:eastAsia="Times New Roman" w:hAnsi="Times New Roman"/>
          <w:sz w:val="18"/>
          <w:szCs w:val="18"/>
          <w:i w:val="1"/>
          <w:iCs w:val="1"/>
          <w:u w:val="single" w:color="auto"/>
          <w:color w:val="auto"/>
        </w:rPr>
        <w:t>Unless the Corporation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Adopting an Exclusive Federal Forum Provision</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Board believes that the Company and its stockholders will benefit from having any causes of action arising under the Securities Act being litigated in the federal district courts of the United States. The Federal Forum Selection Amendment is intended to provide a streamlined, efficient and organized process for resolution of such disputes. The Federal Forum Selection Amendment is intended to prevent plaintiff forum shopping and the related practice of filing parallel lawsuits in multiple jurisdictions. Most of the companies in our 2023 peer group (see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have an exclusive federal forum provision in their certificate of incorporation or bylaws.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determining whether to adopt the Federal Forum Selection Amendment, the Board considered a number of factors, including the following:</w:t>
      </w:r>
    </w:p>
    <w:p>
      <w:pPr>
        <w:spacing w:after="0" w:line="131" w:lineRule="exact"/>
        <w:rPr>
          <w:sz w:val="20"/>
          <w:szCs w:val="20"/>
          <w:color w:val="auto"/>
        </w:rPr>
      </w:pPr>
    </w:p>
    <w:p>
      <w:pPr>
        <w:ind w:left="108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avoiding litigating actions on the same topic in multiple jurisdictions, with the associated duplication of litigation expenses, and the potential for inconsistent outcomes;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320" w:top="482"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forum shopping by plaintiffs’ lawyers and potentially discouraging illegitimate claims;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the Company’s ability to consent to an alternative forum, if desired;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avoiding having to address where an action may be brought, and instead focusing on underlying substantive rights or remedies;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trend toward adopting forum selection clauses in response to multi-forum litigation; and</w:t>
      </w:r>
    </w:p>
    <w:p>
      <w:pPr>
        <w:spacing w:after="0" w:line="130"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 of having the Board deliberate on whether to adopt such a provision on a “clear day” rather than in response to actual or threatened litigation.</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Based on these considerations, the Board adopted resolutions setting forth the Federal Forum Selection Amendment, declared the amendment advisable and in the best interests of the Company and our stockholders, approved and adopted the amendment, unanimously resolved to submit the Federal Forum Selection Amendment to our stockholders for approval and recommended that our stockholders adopt the amendment.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Federal Forum Selection</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approval and implementation of the Federal Forum Selection Amendment will result, to the fullest extent permitted by law, in the federal district courts of the United States of America being the exclusive forum for the resolution of any complainant asserting a cause of action arising under the Securities Act, unless the Company selects or consents in writing to the selection of an alternative forum.</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our stockholders do not approve this proposal, no changes will be made to the Certificate of Incorporation with respect to the selection of a federal forum for claims arising under the Securities Act, and the Federal Forum Selection Amendment will not become effective.</w:t>
      </w:r>
    </w:p>
    <w:p>
      <w:pPr>
        <w:spacing w:after="0" w:line="16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Board may, in its sole discretion, abandon the Federal Forum Selection Amendment without further action by our stockholders at any time before the effectiveness thereof, even if the Federal Forum Selection has been authorized by our stockholders.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approval of Proposal 18 will require the affirmative vote of the holders of a majority of the outstanding shares of Common Stock.</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IRECTORS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ECOMMENDS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7"/>
          <w:szCs w:val="17"/>
          <w:b w:val="1"/>
          <w:bCs w:val="1"/>
          <w:color w:val="auto"/>
        </w:rPr>
        <w:t>V</w:t>
      </w:r>
      <w:r>
        <w:rPr>
          <w:rFonts w:ascii="Times New Roman" w:cs="Times New Roman" w:eastAsia="Times New Roman" w:hAnsi="Times New Roman"/>
          <w:sz w:val="15"/>
          <w:szCs w:val="15"/>
          <w:b w:val="1"/>
          <w:bCs w:val="1"/>
          <w:color w:val="auto"/>
        </w:rPr>
        <w:t xml:space="preserve">OTE </w:t>
      </w:r>
      <w:r>
        <w:rPr>
          <w:rFonts w:ascii="Times New Roman" w:cs="Times New Roman" w:eastAsia="Times New Roman" w:hAnsi="Times New Roman"/>
          <w:sz w:val="17"/>
          <w:szCs w:val="17"/>
          <w:b w:val="1"/>
          <w:bCs w:val="1"/>
          <w:color w:val="auto"/>
        </w:rPr>
        <w:t>I</w:t>
      </w:r>
      <w:r>
        <w:rPr>
          <w:rFonts w:ascii="Times New Roman" w:cs="Times New Roman" w:eastAsia="Times New Roman" w:hAnsi="Times New Roman"/>
          <w:sz w:val="15"/>
          <w:szCs w:val="15"/>
          <w:b w:val="1"/>
          <w:bCs w:val="1"/>
          <w:color w:val="auto"/>
        </w:rPr>
        <w:t xml:space="preserve">N </w:t>
      </w:r>
      <w:r>
        <w:rPr>
          <w:rFonts w:ascii="Times New Roman" w:cs="Times New Roman" w:eastAsia="Times New Roman" w:hAnsi="Times New Roman"/>
          <w:sz w:val="17"/>
          <w:szCs w:val="17"/>
          <w:b w:val="1"/>
          <w:bCs w:val="1"/>
          <w:color w:val="auto"/>
        </w:rPr>
        <w:t>F</w:t>
      </w:r>
      <w:r>
        <w:rPr>
          <w:rFonts w:ascii="Times New Roman" w:cs="Times New Roman" w:eastAsia="Times New Roman" w:hAnsi="Times New Roman"/>
          <w:sz w:val="15"/>
          <w:szCs w:val="15"/>
          <w:b w:val="1"/>
          <w:bCs w:val="1"/>
          <w:color w:val="auto"/>
        </w:rPr>
        <w:t xml:space="preserve">AVOR OF </w:t>
      </w: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5"/>
          <w:szCs w:val="15"/>
          <w:b w:val="1"/>
          <w:bCs w:val="1"/>
          <w:color w:val="auto"/>
        </w:rPr>
        <w:t xml:space="preserve">ROPOSAL </w:t>
      </w:r>
      <w:r>
        <w:rPr>
          <w:rFonts w:ascii="Times New Roman" w:cs="Times New Roman" w:eastAsia="Times New Roman" w:hAnsi="Times New Roman"/>
          <w:sz w:val="17"/>
          <w:szCs w:val="17"/>
          <w:b w:val="1"/>
          <w:bCs w:val="1"/>
          <w:color w:val="auto"/>
        </w:rPr>
        <w:t>18.</w:t>
      </w:r>
    </w:p>
    <w:p>
      <w:pPr>
        <w:spacing w:after="0" w:line="15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40"/>
          </w:cols>
          <w:pgMar w:left="320" w:top="482" w:right="5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as of               ,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7480" w:type="dxa"/>
            <w:vAlign w:val="bottom"/>
          </w:tcPr>
          <w:p>
            <w:pPr>
              <w:ind w:left="34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 Hulls </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16"/>
                <w:szCs w:val="16"/>
                <w:color w:val="auto"/>
              </w:rPr>
            </w:pPr>
          </w:p>
        </w:tc>
        <w:tc>
          <w:tcPr>
            <w:tcW w:w="74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Co-Founder, Chief Executive Officer and Director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Rice</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General Manager, International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Mr. Hulls’ biography, see “Proposal 1 Election of Directors” above.</w:t>
      </w:r>
    </w:p>
    <w:p>
      <w:pPr>
        <w:spacing w:after="0" w:line="2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Russell Burke </w:t>
      </w:r>
      <w:r>
        <w:rPr>
          <w:rFonts w:ascii="Times New Roman" w:cs="Times New Roman" w:eastAsia="Times New Roman" w:hAnsi="Times New Roman"/>
          <w:sz w:val="18"/>
          <w:szCs w:val="18"/>
          <w:color w:val="auto"/>
        </w:rPr>
        <w:t>has served as Life360’s Chief Financial Officer since May 2020. Prior to joining Life360, Mr. Burke served as the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and Magic Leap, Inc. and as Chief Executive Officer of Weight Watchers Australia and New Zealand and held senior financial positions at Sony Music Entertainment, and earlier in his career he was with Price Waterhouse (now PricewaterhouseCoopers) in Australia and the U.S. Mr. Burke received his Bachelor of Commerce from the University of Newcastle (Australia) and is a Chartered Accountant (Australia and New Zealand).</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Lauren Antonoff </w:t>
      </w:r>
      <w:r>
        <w:rPr>
          <w:rFonts w:ascii="Times New Roman" w:cs="Times New Roman" w:eastAsia="Times New Roman" w:hAnsi="Times New Roman"/>
          <w:sz w:val="18"/>
          <w:szCs w:val="18"/>
          <w:color w:val="auto"/>
        </w:rPr>
        <w:t>has served as Life360’s Chief Operating Officer since May 2023. Prior to Life360, Ms. Antonoff served in several roles at GoDaddy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an internet domain registrar and web hosting company, where she was President of the U.S. small business division from November 2019 to January 2022 and Senior Vice President &amp; General Manager of the small business Website and Commerce product line from March 2015 to November 2019. Prior to GoDaddy, Ms. Antonoff spent over 18 years at Microsoft Corporation, a computer software company, serving in various product and program management roles culminating as Director, Program Management for SharePoint. Ms. Antonoff served on the board of directors of Momentive Global Inc. since August 2022 to May 2023. Ms. Antonoff received a Bachelor of Arts in Rhetoric and Political Science from the University of California, Berkeley.</w:t>
      </w:r>
    </w:p>
    <w:p>
      <w:pPr>
        <w:spacing w:after="0" w:line="183"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Susan Stick </w:t>
      </w:r>
      <w:r>
        <w:rPr>
          <w:rFonts w:ascii="Times New Roman" w:cs="Times New Roman" w:eastAsia="Times New Roman" w:hAnsi="Times New Roman"/>
          <w:sz w:val="18"/>
          <w:szCs w:val="18"/>
          <w:color w:val="auto"/>
        </w:rPr>
        <w:t>has served as Life360’s General Counsel and Corporate Secretary since July 2023. Prior to joining Life360, Ms. Stick served as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and Senior Vice President, People &amp; Places of Evernote Corporation from June 2018 to January 2023. Previously, she served as Vice President &amp; General Counsel of One Kings Lane, Associate General Counsel of Skype, and Assistant General Counsel of Intuit Inc. Ms. Stick received a Bachelor of Arts in History from the University of California, Los Angeles and a Juris Doctor from University of Hawaii at Manoa.</w:t>
      </w:r>
    </w:p>
    <w:p>
      <w:pPr>
        <w:spacing w:after="0" w:line="176"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David Rice </w:t>
      </w:r>
      <w:r>
        <w:rPr>
          <w:rFonts w:ascii="Times New Roman" w:cs="Times New Roman" w:eastAsia="Times New Roman" w:hAnsi="Times New Roman"/>
          <w:sz w:val="18"/>
          <w:szCs w:val="18"/>
          <w:color w:val="auto"/>
        </w:rPr>
        <w:t>has served as Life360’s General Manager, International since January 2023. He previously served as Life360’s Chief Operating Officer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2017 to January 2023 and also as Chief Product Officer from October 2015 to December 2017. Prior to Life360, Mr. Rice was Chief Product Officer at Vevo LLC, Senior Vice President/General Manager at CBS Interactive Inc., and Vice President of Product at Yahoo Inc. Mr. Rice received his Bachelor of Arts in Business Economics and Japanese from the University of California, Santa Barbara and Master of Business Administration from Harvard Business School.</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SECURITY OWNERSHIP OF</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BENEFICIAL OWNERS AND MANAGEMENT</w:t>
      </w:r>
    </w:p>
    <w:p>
      <w:pPr>
        <w:spacing w:after="0" w:line="20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(including shares underlying all issued and outstanding CDIs) of the Company as of February 29, 2024 by (i) each person who, to the Company’s knowledge, owns more than 5% of its Common Stock, (ii) each of the Company’s named executive officers and directors, and (iii) all of the Company’s executive officers and directors as a group. The table also sets out the names of all persons who have filed an ASIC Form 603 (Notice of initial substantial holder) notifying the Company of a relevant interest in 5% or more of the voting rights attached to the issued securities of the Company, or an ASIC Form 604 (Notice of change of interests of substantial holder) notifying the Company of a change to their relevant interest holding of 1% or more. Shares of our Common Stock subject to options, warrants, or other rights currently exercisable, or exercisable within 60 days of February 29, 2024, are deemed to be beneficially owned and outstanding for computing the share ownership and percentage of the person holding such options, warrants or other rights, but are not deemed outstanding for computing the percentage of any other person. As of February 29, 2024, the Company had 68,290,623 shares of Common Stock issued and outstanding, including all shares of Common Stock underlying issued and outstanding CDIs. Unless otherwise indicated below, the address for each beneficial owner is c/o Life360, Inc., 1900 S. Norfolk Street, Suite 310, San Mateo, California 94107.</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60" w:type="dxa"/>
            <w:vAlign w:val="bottom"/>
            <w:gridSpan w:val="2"/>
            <w:vMerge w:val="restart"/>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60" w:type="dxa"/>
            <w:vAlign w:val="bottom"/>
            <w:gridSpan w:val="2"/>
          </w:tcPr>
          <w:p>
            <w:pPr>
              <w:jc w:val="center"/>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beneficially</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780" w:type="dxa"/>
            <w:vAlign w:val="bottom"/>
            <w:gridSpan w:val="2"/>
            <w:vMerge w:val="continue"/>
          </w:tcPr>
          <w:p>
            <w:pPr>
              <w:spacing w:after="0"/>
              <w:rPr>
                <w:sz w:val="15"/>
                <w:szCs w:val="15"/>
                <w:color w:val="auto"/>
              </w:rPr>
            </w:pPr>
          </w:p>
        </w:tc>
        <w:tc>
          <w:tcPr>
            <w:tcW w:w="2260" w:type="dxa"/>
            <w:vAlign w:val="bottom"/>
            <w:gridSpan w:val="2"/>
          </w:tcPr>
          <w:p>
            <w:pPr>
              <w:jc w:val="center"/>
              <w:ind w:right="960"/>
              <w:spacing w:after="0" w:line="160" w:lineRule="exact"/>
              <w:rPr>
                <w:sz w:val="20"/>
                <w:szCs w:val="20"/>
                <w:color w:val="auto"/>
              </w:rPr>
            </w:pPr>
            <w:r>
              <w:rPr>
                <w:rFonts w:ascii="Times New Roman" w:cs="Times New Roman" w:eastAsia="Times New Roman" w:hAnsi="Times New Roman"/>
                <w:sz w:val="14"/>
                <w:szCs w:val="14"/>
                <w:b w:val="1"/>
                <w:bCs w:val="1"/>
                <w:color w:val="auto"/>
              </w:rPr>
              <w:t>beneficially owned(1)</w:t>
            </w:r>
          </w:p>
        </w:tc>
        <w:tc>
          <w:tcPr>
            <w:tcW w:w="11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6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32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Paradice Investment Management Pty Ltd(2)</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4,968,763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Regal Funds Management Pty Limited(3)</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4,584,839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Hulls(4)</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4,119,005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Burke(5)</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635,701</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26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26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 (6)</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717,453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Philip Coghlan(7)</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376,808</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Goines(8)</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281,750</w:t>
            </w:r>
          </w:p>
        </w:tc>
        <w:tc>
          <w:tcPr>
            <w:tcW w:w="11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Haro(9)</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2,609,045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 Morin(10)</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151,769</w:t>
            </w:r>
          </w:p>
        </w:tc>
        <w:tc>
          <w:tcPr>
            <w:tcW w:w="11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(CJ) Prober(11)</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482,303</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Synge(12)</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677,870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Wiadrowski(13)</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78,025</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Randi Zuckerberg(14)</w:t>
            </w:r>
          </w:p>
        </w:tc>
        <w:tc>
          <w:tcPr>
            <w:tcW w:w="226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52,064</w:t>
            </w:r>
          </w:p>
        </w:tc>
        <w:tc>
          <w:tcPr>
            <w:tcW w:w="11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(13</w:t>
            </w:r>
          </w:p>
        </w:tc>
        <w:tc>
          <w:tcPr>
            <w:tcW w:w="1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individuals)(15)</w:t>
            </w:r>
          </w:p>
        </w:tc>
        <w:tc>
          <w:tcPr>
            <w:tcW w:w="226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10,181,793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Indicates ownership of less than 1%.</w:t>
      </w:r>
    </w:p>
    <w:p>
      <w:pPr>
        <w:spacing w:after="0" w:line="27" w:lineRule="exact"/>
        <w:rPr>
          <w:sz w:val="20"/>
          <w:szCs w:val="20"/>
          <w:color w:val="auto"/>
        </w:rPr>
      </w:pPr>
    </w:p>
    <w:p>
      <w:pPr>
        <w:ind w:left="200" w:hanging="84"/>
        <w:spacing w:after="0"/>
        <w:tabs>
          <w:tab w:leader="none" w:pos="20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  Includes shares of Common Stock underlying issued and outstanding CDIs.</w:t>
      </w:r>
    </w:p>
    <w:p>
      <w:pPr>
        <w:spacing w:after="0" w:line="32" w:lineRule="exact"/>
        <w:rPr>
          <w:rFonts w:ascii="Times New Roman" w:cs="Times New Roman" w:eastAsia="Times New Roman" w:hAnsi="Times New Roman"/>
          <w:sz w:val="16"/>
          <w:szCs w:val="16"/>
          <w:color w:val="auto"/>
        </w:rPr>
      </w:pPr>
    </w:p>
    <w:p>
      <w:pPr>
        <w:ind w:left="540" w:right="20" w:hanging="424"/>
        <w:spacing w:after="0" w:line="362" w:lineRule="auto"/>
        <w:tabs>
          <w:tab w:leader="none" w:pos="198"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 Represents 4,968,763 shares of Common Stock underlying 14,906,291 CDIs of which Paradice Investment Management Pty Ltd holds a relevant interest based upon the Company’s corporate records and upon the information provided by Paradice Investment Management Pty Ltd in a Notice of Change of Interests of Substantial Holder (a “Form 604”) filed with the ASX on March 21, 2023, which reported that Paradice Investment Management Pty Ltd held a relevant interest and can exercise voting and dispositive power over these shares as a discretionary investment manager or adviser. The address for Paradice Investment Management Pty Ltd is L27, Chifley Tower, 2 Chifley Square, Sydney NSW 2000, Australia.</w:t>
      </w:r>
    </w:p>
    <w:p>
      <w:pPr>
        <w:spacing w:after="0" w:line="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82"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358" w:lineRule="auto"/>
        <w:tabs>
          <w:tab w:leader="none" w:pos="1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 Represents 4,584,839 shares of Common Stock underlying 13,754,519 CDIs of which Regal Funds Management Pty Limited (“Regal Pty”) holds a relevant interest based upon the Company’s corporate records and upon the information provided by Regal Pty in a Form 604 filed with the ASX on September 4, 2023, which reported that Regal Partners Limited is the legal holder of Regal Pty which has the power to control the exercise of a power to dispose of these securities. The address for Regal Pty and Regal Partners Limited is Level 47, Gateway, 1 Macquarie Place, Sydney, NSW 2000, Australia.</w:t>
      </w:r>
    </w:p>
    <w:p>
      <w:pPr>
        <w:ind w:left="540" w:right="80" w:hanging="424"/>
        <w:spacing w:after="0" w:line="292" w:lineRule="auto"/>
        <w:tabs>
          <w:tab w:leader="none" w:pos="1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 Represents (i) 946,429 shares of Common Stock held directly by Mr. Hulls; (ii) 1,171,291 shares of our Common Stock underlying 3,513,874 CDIs held directly by Mr. Hulls; (iii) 29,960 shares of our Common Stock underlying 89,880 CDIs held indirectly through ICCA Labs, LLC; (iv) 1,958,905 shares underlying options to purchase Common Stock that are exercisable within 60 days of February 29, 2024; (v) 7,452 shares underlying RSUs that vested or will vest and be issued within 60 days of February 29, 2024; and (vi) 4,968 shares underlying RSUs that vested but will not be issued within 60 days of February 29, 2024 for administrative reasons. Mr. Hulls is a member of ICCA Labs, LLC and the number of shares reported herein represents his proportionate ownership interest in ICCA Labs, LLC.</w:t>
      </w:r>
    </w:p>
    <w:p>
      <w:pPr>
        <w:spacing w:after="0" w:line="176" w:lineRule="exact"/>
        <w:rPr>
          <w:rFonts w:ascii="Times New Roman" w:cs="Times New Roman" w:eastAsia="Times New Roman" w:hAnsi="Times New Roman"/>
          <w:sz w:val="16"/>
          <w:szCs w:val="16"/>
          <w:color w:val="auto"/>
        </w:rPr>
      </w:pPr>
    </w:p>
    <w:p>
      <w:pPr>
        <w:ind w:left="540" w:right="20" w:hanging="424"/>
        <w:spacing w:after="0" w:line="375" w:lineRule="auto"/>
        <w:tabs>
          <w:tab w:leader="none" w:pos="1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 Represents (i) 40,754 shares of our Common Stock held directly by Mr. Burke; (ii) 572,701 shares underlying options to purchase Common Stock that are exercisable within 60 days of March 31, 2024; (iii) 13,347 shares underlying RSUs that vested or will vest and be issued within 60 days of February 29, 2024; and (iv) 8,899 shares underlying RSUs that vested but will not be issued within 60 days of February 29, 2024 for administrative reasons.</w:t>
      </w:r>
    </w:p>
    <w:p>
      <w:pPr>
        <w:spacing w:after="0" w:line="1" w:lineRule="exact"/>
        <w:rPr>
          <w:rFonts w:ascii="Times New Roman" w:cs="Times New Roman" w:eastAsia="Times New Roman" w:hAnsi="Times New Roman"/>
          <w:sz w:val="16"/>
          <w:szCs w:val="16"/>
          <w:color w:val="auto"/>
        </w:rPr>
      </w:pPr>
    </w:p>
    <w:p>
      <w:pPr>
        <w:ind w:left="540" w:right="40" w:hanging="424"/>
        <w:spacing w:after="0" w:line="302" w:lineRule="auto"/>
        <w:tabs>
          <w:tab w:leader="none" w:pos="1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 Represents (i) 217,570 shares of our Common Stock underlying 652,710 CDIs held directly by Mr. Rice; (ii) 485,893 shares underlying options to purchase Common Stock that are exercisable within 60 days of February 29, 2024; (ii) 8,393 shares underlying RSUs that vested or will vest and be issued within 60 days of February 29, 2024; and (iv) 5,597 shares underlying RSUs that vested but will not be issued within 60 days of February 29, 2024 for administrative reasons.</w:t>
      </w:r>
    </w:p>
    <w:p>
      <w:pPr>
        <w:spacing w:after="0" w:line="169" w:lineRule="exact"/>
        <w:rPr>
          <w:rFonts w:ascii="Times New Roman" w:cs="Times New Roman" w:eastAsia="Times New Roman" w:hAnsi="Times New Roman"/>
          <w:sz w:val="16"/>
          <w:szCs w:val="16"/>
          <w:color w:val="auto"/>
        </w:rPr>
      </w:pPr>
    </w:p>
    <w:p>
      <w:pPr>
        <w:ind w:left="540" w:right="60" w:hanging="424"/>
        <w:spacing w:after="0" w:line="281" w:lineRule="auto"/>
        <w:tabs>
          <w:tab w:leader="none" w:pos="1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 Represents (i) 73,994 shares of our Common Stock held directly by Mr. Coghlan; (ii) 34,893 shares of our Common Stock held indirectly through the John Coghlan Living Trust; (iii) 265,004 shares underlying options to purchase Common Stock that are exercisable within 60 days of February 29, 2024; and (iv) 2,917 shares underlying RSUs that vested or will vest and be issued within 60 days of February 29, 2024.</w:t>
      </w:r>
    </w:p>
    <w:p>
      <w:pPr>
        <w:spacing w:after="0" w:line="1" w:lineRule="exact"/>
        <w:rPr>
          <w:rFonts w:ascii="Times New Roman" w:cs="Times New Roman" w:eastAsia="Times New Roman" w:hAnsi="Times New Roman"/>
          <w:sz w:val="16"/>
          <w:szCs w:val="16"/>
          <w:color w:val="auto"/>
        </w:rPr>
      </w:pPr>
    </w:p>
    <w:p>
      <w:pPr>
        <w:ind w:left="540" w:hanging="424"/>
        <w:spacing w:after="0" w:line="375" w:lineRule="auto"/>
        <w:tabs>
          <w:tab w:leader="none" w:pos="1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 Represents (i) 57,711 shares of our Common Stock held directly by Mr. Goines; (ii) 187,589 shares of our Common Stock underlying 562,767 CDIs held indirectly through the Goines Wong Living Trust; (iii) 34,045 shares underlying options to purchase Common Stock that are exercisable within 60 days of February 29, 2024; and (iv) 2,405 shares underlying RSUs that vested or will vest and be issued within 60 days of February 29, 2024.</w:t>
      </w:r>
    </w:p>
    <w:p>
      <w:pPr>
        <w:spacing w:after="0" w:line="1" w:lineRule="exact"/>
        <w:rPr>
          <w:rFonts w:ascii="Times New Roman" w:cs="Times New Roman" w:eastAsia="Times New Roman" w:hAnsi="Times New Roman"/>
          <w:sz w:val="16"/>
          <w:szCs w:val="16"/>
          <w:color w:val="auto"/>
        </w:rPr>
      </w:pPr>
    </w:p>
    <w:p>
      <w:pPr>
        <w:ind w:left="540" w:hanging="424"/>
        <w:spacing w:after="0" w:line="281" w:lineRule="auto"/>
        <w:tabs>
          <w:tab w:leader="none" w:pos="198"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(9) Represents (i) 2,168,300 shares of our Common Stock held directly by Mr. Haro; (ii) 30,635 shares of our Common Stock underlying 91,905 CDIs held directly by Mr. Haro; (iii) 30,635 shares of our Common Stock underlying 91,905 CDIs held indirectly through ICCA Labs, LLC; (iv) 407,837 shares underlying options to purchase Common Stock that are exercisable within 60 days of March 31, 2024; and (v) 2,273 shares</w:t>
      </w:r>
    </w:p>
    <w:p>
      <w:pPr>
        <w:spacing w:after="0" w:line="2" w:lineRule="exact"/>
        <w:rPr>
          <w:sz w:val="20"/>
          <w:szCs w:val="20"/>
          <w:color w:val="auto"/>
        </w:rPr>
      </w:pPr>
    </w:p>
    <w:p>
      <w:pPr>
        <w:ind w:left="540" w:right="240"/>
        <w:spacing w:after="0" w:line="250" w:lineRule="auto"/>
        <w:rPr>
          <w:sz w:val="20"/>
          <w:szCs w:val="20"/>
          <w:color w:val="auto"/>
        </w:rPr>
      </w:pPr>
      <w:r>
        <w:rPr>
          <w:rFonts w:ascii="Times New Roman" w:cs="Times New Roman" w:eastAsia="Times New Roman" w:hAnsi="Times New Roman"/>
          <w:sz w:val="18"/>
          <w:szCs w:val="18"/>
          <w:color w:val="auto"/>
        </w:rPr>
        <w:t>underlying RSUs that vested or will vest and be issued within 60 days of February 29, 2024. Mr. Haro is a member of ICCA Labs, LLC and the number of shares reported herein represents his proportionate ownership interest in ICCA Labs, LLC.</w:t>
      </w:r>
    </w:p>
    <w:p>
      <w:pPr>
        <w:spacing w:after="0" w:line="1" w:lineRule="exact"/>
        <w:rPr>
          <w:sz w:val="20"/>
          <w:szCs w:val="20"/>
          <w:color w:val="auto"/>
        </w:rPr>
      </w:pPr>
    </w:p>
    <w:p>
      <w:pPr>
        <w:ind w:left="540" w:right="2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22,371 shares of our Common Stock held directly by Ms. Morin; (ii) 127,031 shares underlying options to purchase Common Stock that are exercisable within 60 days of February 29, 2024; and (iii) 2,367 shares underlying RSUs that vested or will vest and be issued within 60 days of February 29, 2024.</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12,360 shares of our Common Stock held directly by Mr. Prober; (ii) 162,513 shares of our Common Stock underlying 487,539 CDIs held directly by Mr. Prober; and (iii) 307,430 shares underlying RSUs that vested or will vest and be issued within 60 days of February 29, 2024.</w:t>
      </w:r>
    </w:p>
    <w:p>
      <w:pPr>
        <w:spacing w:after="0" w:line="1" w:lineRule="exact"/>
        <w:rPr>
          <w:rFonts w:ascii="Times New Roman" w:cs="Times New Roman" w:eastAsia="Times New Roman" w:hAnsi="Times New Roman"/>
          <w:sz w:val="18"/>
          <w:szCs w:val="18"/>
          <w:color w:val="auto"/>
        </w:rPr>
      </w:pPr>
    </w:p>
    <w:p>
      <w:pPr>
        <w:ind w:left="540" w:right="40" w:hanging="424"/>
        <w:spacing w:after="0" w:line="253"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26,222 shares of our Common Stock held directly by Mr. Synge; (ii) 480,347 shares of our Common Stock underlying 1,441,041 CDIs held directly by Mr. Synge; (iii) 64,379 shares of our Common Stock underlying 193,137 CDIs held indirectly through ICCA Labs, LLC (the “ICCA Shares”). Mr. Synge has shared investment control held over Carthona Capital FS Pty Ltd. (“Carthona Capital”). Carthona Capital is a member of ICCA Labs, LLC, The ICCA Shares reported as beneficially owned by Mr. Synge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82"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55" w:lineRule="auto"/>
        <w:rPr>
          <w:sz w:val="20"/>
          <w:szCs w:val="20"/>
          <w:color w:val="auto"/>
        </w:rPr>
      </w:pPr>
      <w:r>
        <w:rPr>
          <w:rFonts w:ascii="Times New Roman" w:cs="Times New Roman" w:eastAsia="Times New Roman" w:hAnsi="Times New Roman"/>
          <w:sz w:val="18"/>
          <w:szCs w:val="18"/>
          <w:color w:val="auto"/>
        </w:rPr>
        <w:t>represent Carthona Capital’s proportionate ownership interest in ICCA Labs, LLC. Mr. Synge disclaims beneficial ownership of these ICCA Shares except to the extent of his pecuniary interest therein; (iv) 70,573 shares of Common Stock underlying 211,720 CDIs held indirectly through Stynge Pty Ltd ATF Sandy Bay Trust; and (v) 2,377 shares underlying RSUs that vested or will vest and be issued within 60 days of February 29, 2024.</w:t>
      </w:r>
    </w:p>
    <w:p>
      <w:pPr>
        <w:spacing w:after="0" w:line="3" w:lineRule="exact"/>
        <w:rPr>
          <w:sz w:val="20"/>
          <w:szCs w:val="20"/>
          <w:color w:val="auto"/>
        </w:rPr>
      </w:pPr>
    </w:p>
    <w:p>
      <w:pPr>
        <w:jc w:val="both"/>
        <w:ind w:left="540" w:right="22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29,851 shares of our Common Stock held directly by Mr. Wiadrowski; (ii) 8,256 shares of our Common Stock underlying 24,768 CDIs held directly by Mr. Wiadrowski; (iii) 37,361 shares underlying options to purchase Common Stock that are exercisable within 60 days of February 29, 2024; and (iv) 2,557 shares underlying RSUs that vested or will vest and be issued within 60 days of February 29, 2024.</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11,817 shares of our Common Stock held directly by Ms. Zuckerberg; (ii) 37,870 shares underlying options to purchase Common Stock that are exercisable within 60 days of February 29 , 2024; and (iii) 2,377 shares underlying RSUs that vested or will vest and be issued within 60 days of February 29, 2024.</w:t>
      </w:r>
    </w:p>
    <w:p>
      <w:pPr>
        <w:spacing w:after="0" w:line="1" w:lineRule="exact"/>
        <w:rPr>
          <w:rFonts w:ascii="Times New Roman" w:cs="Times New Roman" w:eastAsia="Times New Roman" w:hAnsi="Times New Roman"/>
          <w:sz w:val="18"/>
          <w:szCs w:val="18"/>
          <w:color w:val="auto"/>
        </w:rPr>
      </w:pPr>
    </w:p>
    <w:p>
      <w:pPr>
        <w:ind w:left="540" w:right="100" w:hanging="424"/>
        <w:spacing w:after="0" w:line="253"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3,424,702 shares of our Common Stock; (ii) 2,423,113 shares of our Common Stock underlying 7,269,341 CDIs; (iii) 3,960,619 shares underlying options to purchase Common Stock that are exercisable within 60 days of February 29, 2024; and (iv) 353,895 shares underlying RSUs that vested or will vest within 60 days of February 29; and (v) 19,464 shares underlying RSUs that vested but will not be issued within 60 days of February 29, 2024 for administrative reasons held by our executive officers and directors as a group.</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ISCUSSION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NALYSIS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This section explains the principles and practices that guide our executive compensation program, and the compensation paid to the following “named executive officers” (“NEOs”) during the fiscal year ended December 31, 2023: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7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Chris Hulls</w:t>
            </w:r>
          </w:p>
        </w:tc>
        <w:tc>
          <w:tcPr>
            <w:tcW w:w="200" w:type="dxa"/>
            <w:vAlign w:val="bottom"/>
          </w:tcPr>
          <w:p>
            <w:pPr>
              <w:spacing w:after="0"/>
              <w:rPr>
                <w:sz w:val="16"/>
                <w:szCs w:val="16"/>
                <w:color w:val="auto"/>
              </w:rPr>
            </w:pPr>
          </w:p>
        </w:tc>
        <w:tc>
          <w:tcPr>
            <w:tcW w:w="7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Rice</w:t>
            </w: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GM, International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joined the Company in May 2023, and Ms. Stick joined the Company in July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material elements of our executive compensation program during 2023 and certain aspects of our compensation program for 2024. It also provides an overview of our executive compensation philosophy and objectives. Our executive compensation program is designed to attract, motivate and retain key executives who drive our success.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Appointment of New COO and General Counsel</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Following an extensive candidate search and interview process, our Board appointed Lauren Antonoff as our Chief Operating Officer in May 2023 and Susan Stick as our General Counsel in July 2023.</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Mrs. Antonoff’s employment letter provides for the following compensation:</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$450,000 and annual target bonus of 50% of annual base salary. Achievement may be scored between 0% and 200%;</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signing bonus of $80,000;</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with a value of approximately $4,000,000, subject to time-based vesting over three years with 1/3 of the award vesting after 12 months of full-time employment and 1/36th vesting monthly after that;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Refresh RSU Awards with a value of approximately $2,000,000 each at Ms. Antonoff’s one-year and two-year anniversary with the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Mrs. Stick’s employment letter provides for the following compensation:</w:t>
      </w:r>
    </w:p>
    <w:p>
      <w:pPr>
        <w:spacing w:after="0" w:line="13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salary of $320,000 and annual target bonus of 30% of annual base salary;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signing bonus of $30,000; and</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with a value of approximately $1,500,000, subject to time-based vesting over four years with 1/4 of the award vesting after 12 months of full-time employment and 1/48th vesting monthly after that.</w:t>
      </w:r>
    </w:p>
    <w:p>
      <w:pPr>
        <w:spacing w:after="0" w:line="162" w:lineRule="exact"/>
        <w:rPr>
          <w:sz w:val="20"/>
          <w:szCs w:val="20"/>
          <w:color w:val="auto"/>
        </w:rPr>
      </w:pPr>
    </w:p>
    <w:p>
      <w:pPr>
        <w:ind w:left="120" w:right="900"/>
        <w:spacing w:after="0" w:line="282" w:lineRule="auto"/>
        <w:rPr>
          <w:sz w:val="20"/>
          <w:szCs w:val="20"/>
          <w:color w:val="auto"/>
        </w:rPr>
      </w:pPr>
      <w:r>
        <w:rPr>
          <w:rFonts w:ascii="Times New Roman" w:cs="Times New Roman" w:eastAsia="Times New Roman" w:hAnsi="Times New Roman"/>
          <w:sz w:val="18"/>
          <w:szCs w:val="18"/>
          <w:color w:val="auto"/>
        </w:rPr>
        <w:t>Compensation was determined based on the intense competition for executive talent, and after considering the appropriate mix of target cash compensation and equity awards based on our compensation philosophies.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Life360 delivers peace of mind for families of all types. The Company’s category leading mobile app and Tile tracking devices help members protect the people, pets and things they care about most, with a range of services including location sharing, safe driver reports, and crash detection with emergency dispatch. Life360 is based in San Mateo, California and has approximately 61 million monthly active users (“MAUs”) located in more than 150 countries.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FY23 Financial Highlights</w:t>
      </w:r>
    </w:p>
    <w:p>
      <w:pPr>
        <w:spacing w:after="0" w:line="135"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$305 million, a year-over-year increase of 33%, in line with guidance of $300 million to $310 million;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$28.2 million, a $63.5 million improvement from CY22;</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7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Positive Adjusted EBITDA of $20.6 million ahead of guidance of $12 million to $16 million, with consistent Positive Adjusted EBITDA delivered in each quarter of CY23; </w:t>
      </w:r>
      <w:r>
        <w:rPr>
          <w:rFonts w:ascii="Times New Roman" w:cs="Times New Roman" w:eastAsia="Times New Roman" w:hAnsi="Times New Roman"/>
          <w:sz w:val="26"/>
          <w:szCs w:val="26"/>
          <w:color w:val="auto"/>
          <w:vertAlign w:val="superscript"/>
        </w:rPr>
        <w:t>(1)</w:t>
      </w: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operating cash flow of $7.5 million, a $64.6 million improvement versus CY22; and</w:t>
      </w:r>
    </w:p>
    <w:p>
      <w:pPr>
        <w:spacing w:after="0" w:line="11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Year-end cash, cash equivalents and restricted cash of $70.7 million up from $63.7 million at the end of Q3’23.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171450</wp:posOffset>
            </wp:positionV>
            <wp:extent cx="4414520" cy="2451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1452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right="20" w:hanging="424"/>
        <w:spacing w:after="0" w:line="231" w:lineRule="auto"/>
        <w:tabs>
          <w:tab w:leader="none" w:pos="54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Adjusted EBITDA is a non-GAAP financial metric that the Company defines as net loss, excluding (i) convertible notes and derivative liability fair value adjustments, (ii) provision for income taxes, (iii) depreciation and amortization, (iv) other income, net, (v) stock-based compensation, (vi) Form 10- transaction costs, (vii) acquisition and integration costs, (viii) workplace restructuring costs, (ix) inventory write-offs, (x) adjustment in connection with membership benefit, (xi) warehouse relocation costs and (xii) gain on revaluation of contingent consideration. See the Appendix for additional information, including a reconciliation of Adjusted EBITDA to net loss.</w:t>
      </w:r>
    </w:p>
    <w:p>
      <w:pPr>
        <w:spacing w:after="0" w:line="2" w:lineRule="exact"/>
        <w:rPr>
          <w:rFonts w:ascii="Times New Roman" w:cs="Times New Roman" w:eastAsia="Times New Roman" w:hAnsi="Times New Roman"/>
          <w:sz w:val="27"/>
          <w:szCs w:val="27"/>
          <w:color w:val="auto"/>
          <w:vertAlign w:val="superscript"/>
        </w:rPr>
      </w:pPr>
    </w:p>
    <w:p>
      <w:pPr>
        <w:ind w:left="540" w:right="280" w:hanging="424"/>
        <w:spacing w:after="0" w:line="200" w:lineRule="auto"/>
        <w:tabs>
          <w:tab w:leader="none" w:pos="540" w:val="left"/>
        </w:tabs>
        <w:numPr>
          <w:ilvl w:val="0"/>
          <w:numId w:val="4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See our Annual Report on Form 10-K, filed with the SEC on February 29, 2024 for more information regarding our MAUs, Paying Circles and Average Revenue Per Paying Circle (“ARPPC”) and how we calculate such metrics.</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Highlights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executive compensation program aligns with our strategy and with stockholder interests in three significant respects.</w:t>
      </w:r>
    </w:p>
    <w:p>
      <w:pPr>
        <w:spacing w:after="0" w:line="221"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color w:val="auto"/>
        </w:rPr>
        <w:t>Pay is aligned with performance</w:t>
      </w:r>
      <w:r>
        <w:rPr>
          <w:rFonts w:ascii="Times New Roman" w:cs="Times New Roman" w:eastAsia="Times New Roman" w:hAnsi="Times New Roman"/>
          <w:sz w:val="18"/>
          <w:szCs w:val="18"/>
          <w:color w:val="auto"/>
        </w:rPr>
        <w:t>. Direct compensation for the NEOs typically has three components: salary; an annual cash bonus opportunity tied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against prescribed Company, business unit, and individual goals; and equity, the value of which hinges on sustained stock price performance.</w:t>
      </w:r>
    </w:p>
    <w:p>
      <w:pPr>
        <w:spacing w:after="0" w:line="171"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color w:val="auto"/>
        </w:rPr>
        <w:t>Most compensation is variable and at risk</w:t>
      </w:r>
      <w:r>
        <w:rPr>
          <w:rFonts w:ascii="Times New Roman" w:cs="Times New Roman" w:eastAsia="Times New Roman" w:hAnsi="Times New Roman"/>
          <w:sz w:val="18"/>
          <w:szCs w:val="18"/>
          <w:color w:val="auto"/>
        </w:rPr>
        <w:t>. Most of the target total direct compensation for our named executive officers depends on either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business unit performance or stock price. In 2023, approximately 80% of intended target direct compensation for the CEO and other NEOs (on average), was at risk. As discussed below, the CEO did not receive any long-term equity awards in 2023 and we have taken stockholder feedback into consideration when designing his 2024 long-term equity awards.</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Compensation packages are competitive. </w:t>
      </w:r>
      <w:r>
        <w:rPr>
          <w:rFonts w:ascii="Times New Roman" w:cs="Times New Roman" w:eastAsia="Times New Roman" w:hAnsi="Times New Roman"/>
          <w:sz w:val="18"/>
          <w:szCs w:val="18"/>
          <w:color w:val="auto"/>
        </w:rPr>
        <w:t>We provide competitive base salaries and meaningful short- and long-term incentive opportunities to support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retention objectives and to tie compensation to achievement of Life360’s financial, strategic, and operational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129540</wp:posOffset>
            </wp:positionV>
            <wp:extent cx="5151755" cy="1619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5175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One-Time Retention Bonus for Chris Hulls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Mr. Hulls, our Chief Executive Officer, is also a member of our Board. ASX listing rules prohibit companies from granting awards to directors under employee incentive plans without stockholder approval. At the 2023 annual meeting of stockholders, the Company sought approval for a grant of RSUs with a market value of $1,800,000 to Mr. Hulls. This grant was not approved by the stockholders, in part because the grant was time-vesting and was not tied to performance metrics.</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Mr. Hulls has been integral to the success of Life360 since our founding in 2007. Members, employees and stockholders have derived significant long-term benefits during his tenure. In order to retain his services, and to compensate for the Company’s inability to grant him a long-term equity award in 2023, the Remuneration and Nomination Committee decided in August 2023 to grant Mr. Hulls a one-time cash retention bonus of $600,000 payable on December 31, 2023, conditional on Mr. Hulls’ continued employment through the end of the year. The condition was satisfied, and Mr. Hulls received the retention bonus in December 2023.</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82"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 of Performance Equity Plan</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Consistent with stockholders’ feedback, Mr. Hulls’ 2024 equity award will consist of both PRSUs and RSUs. The mix will consist of 60% PRSUs and 40% RSUs. Please see below for the construct of the performance-based equity.</w:t>
      </w:r>
    </w:p>
    <w:p>
      <w:pPr>
        <w:sectPr>
          <w:pgSz w:w="11900" w:h="16838" w:orient="portrait"/>
          <w:cols w:equalWidth="0" w:num="1">
            <w:col w:w="11140"/>
          </w:cols>
          <w:pgMar w:left="320" w:top="482" w:right="439" w:bottom="1440" w:gutter="0" w:footer="0" w:header="0"/>
        </w:sectPr>
      </w:pPr>
    </w:p>
    <w:p>
      <w:pPr>
        <w:spacing w:after="0" w:line="18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b w:val="1"/>
          <w:bCs w:val="1"/>
          <w:color w:val="auto"/>
        </w:rPr>
        <w:t>Revenue (50%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35744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Threshold: 90% of revenue target.</w:t>
      </w:r>
    </w:p>
    <w:p>
      <w:pPr>
        <w:spacing w:after="0" w:line="1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revenue is below the threshold, 50% of the PRSUs will lapse.</w:t>
      </w:r>
    </w:p>
    <w:p>
      <w:pPr>
        <w:spacing w:after="0" w:line="34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If revenue is above target and Adjusted EBITDA threshold is achieved: up to 100% of the PRSUs will vest (200% of Target).</w:t>
      </w:r>
    </w:p>
    <w:p>
      <w:pPr>
        <w:spacing w:after="0" w:line="5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Payout on Revenue weighting capped at 100% if Adjusted EBITDA threshold is not achieved.</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Payout 3:1 for Revenue above target, subject to the 200% of Target.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b w:val="1"/>
          <w:bCs w:val="1"/>
          <w:color w:val="auto"/>
        </w:rPr>
        <w:t>Adjusted EBITDA (50% Weighting)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wp:posOffset>
            </wp:positionV>
            <wp:extent cx="328295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Threshold: 90% of Adjusted EBITDA target.</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If Adjusted EBITDA is below the threshold, 50% of the PRSUs will lapse.</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Adjusted EBITDA is above target up to 100% of the PRSUs will vest (200% of Target). Calculated independent of revenue performance.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 2:1 for Adjusted EBITDA beyond target</w:t>
      </w:r>
    </w:p>
    <w:p>
      <w:pPr>
        <w:spacing w:after="0" w:line="200" w:lineRule="exact"/>
        <w:rPr>
          <w:sz w:val="20"/>
          <w:szCs w:val="20"/>
          <w:color w:val="auto"/>
        </w:rPr>
      </w:pPr>
    </w:p>
    <w:p>
      <w:pPr>
        <w:sectPr>
          <w:pgSz w:w="11900" w:h="16838" w:orient="portrait"/>
          <w:cols w:equalWidth="0" w:num="2">
            <w:col w:w="5740" w:space="220"/>
            <w:col w:w="5180"/>
          </w:cols>
          <w:pgMar w:left="320" w:top="482" w:right="439" w:bottom="1440" w:gutter="0" w:footer="0" w:header="0"/>
          <w:type w:val="continuous"/>
        </w:sectPr>
      </w:pPr>
    </w:p>
    <w:p>
      <w:pPr>
        <w:spacing w:after="0" w:line="25"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goal of the plan is to have a balanced focus on both top and bottom-line growth. The use of Adjusted EBITDA threshold as a gate on revenue upside enforces a balance between growth and profitability.</w:t>
      </w:r>
    </w:p>
    <w:p>
      <w:pPr>
        <w:spacing w:after="0" w:line="16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Remuneration and Nomination Committee elected to introduce a performance equity plan to tie a meaningful portion of pay to measurable goals with defined time horizons. The committee believes that the introduction of PRSUs effectively supports retention and motivational objectives of the overall executive pay program. To begin with, the Company will introduce a one-year performance period with additional time-based vesting for earned shares. The intent is that performance-based equity will evolve over time and continue to align with the company’s compensation philosophy and objectives.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objective of our compensation program is to enable us to hire, reward, and retain the world-class talent that we need to execute our strategy and successfully pursue our mission of keeping people close to the ones they love. To that end, our short- and long-term incentive compensation programs are tied to performance and stock price because we believe that consistent and strong results should lead to higher compensation.</w:t>
      </w:r>
    </w:p>
    <w:p>
      <w:pPr>
        <w:spacing w:after="0" w:line="17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As we continue to grow, the Remuneration and Nomination Committee will evaluate our compensation philosophy and objectives regularly to confirm that our program continues to appropriately encourage, motivate, and reward our NEOs.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Practices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Our executive compensation policies and practices reinforce our long-term, performance-based mindset and belief that our executives should be rewarded for the success they help create. Our key policies and practices are summarized below.</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314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Regular competitive analysis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Double-trigger change in control requirement</w:t>
      </w:r>
    </w:p>
    <w:p>
      <w:pPr>
        <w:spacing w:after="0" w:line="3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at risk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Long-term focus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review</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Independent decision-maker</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Hedging and pledging transactions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-934720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wp:posOffset>
            </wp:positionV>
            <wp:extent cx="45434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With the help of its compensation consultant and recommendations from the Chief People Officer, the Remuneration and Nomination Committee annually benchmarks our executives’ total target compensation opportunities and each individual element of compensation against our peer group and market survey data to confirm our compensation is both competitive and reasonable.</w:t>
      </w:r>
    </w:p>
    <w:p>
      <w:pPr>
        <w:spacing w:after="0" w:line="7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Subject to the ASX Listing Rules and except in limited circumstances, equity awards may not accelerate before or after a change in control alone.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Most of our NEOs’ compensation is at risk and tied to our performance to align their interests with those of our stockholders.</w:t>
      </w:r>
    </w:p>
    <w:p>
      <w:pPr>
        <w:spacing w:after="0" w:line="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provide significant equity-based compensation with vesting occurring over a multiple-year period to encourage durable growth and consistent, well-rounded performance.</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Remuneration and Nomination Committee periodically reviews our compensation policies and procedures.</w:t>
      </w:r>
    </w:p>
    <w:p>
      <w:pPr>
        <w:spacing w:after="0" w:line="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All members of Life360’s Remuneration and Nomination Committee are independent directors, and they are supported by an independent compensation consultant.</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all employees, executives, and directors from engaging in short sales, puts and calls, or other hedging transactions. Company securities may not be pledged as collateral in a margin account or for a loan unless approved by the General Counsel.</w:t>
      </w:r>
    </w:p>
    <w:p>
      <w:pPr>
        <w:spacing w:after="0" w:line="578" w:lineRule="exact"/>
        <w:rPr>
          <w:sz w:val="20"/>
          <w:szCs w:val="20"/>
          <w:color w:val="auto"/>
        </w:rPr>
      </w:pPr>
    </w:p>
    <w:p>
      <w:pPr>
        <w:sectPr>
          <w:pgSz w:w="11900" w:h="16838" w:orient="portrait"/>
          <w:cols w:equalWidth="0" w:num="2">
            <w:col w:w="3420" w:space="560"/>
            <w:col w:w="7160"/>
          </w:cols>
          <w:pgMar w:left="320" w:top="482" w:right="439" w:bottom="1440" w:gutter="0" w:footer="0" w:header="0"/>
        </w:sectPr>
      </w:pP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Practice</w:t>
            </w:r>
          </w:p>
        </w:tc>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1"/>
        </w:trPr>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No retirement programs</w:t>
            </w:r>
          </w:p>
        </w:tc>
        <w:tc>
          <w:tcPr>
            <w:tcW w:w="220" w:type="dxa"/>
            <w:vAlign w:val="bottom"/>
          </w:tcPr>
          <w:p>
            <w:pPr>
              <w:spacing w:after="0"/>
              <w:rPr>
                <w:sz w:val="16"/>
                <w:szCs w:val="16"/>
                <w:color w:val="auto"/>
              </w:rPr>
            </w:pPr>
          </w:p>
        </w:tc>
        <w:tc>
          <w:tcPr>
            <w:tcW w:w="7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Other than our 401(k) plan, which is generally available to all employees, we do not offer defined</w:t>
            </w:r>
          </w:p>
        </w:tc>
      </w:tr>
      <w:tr>
        <w:trPr>
          <w:trHeight w:val="216"/>
        </w:trPr>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benefit or contribution retirement plans or arrangements or nonqualified deferred compensation</w:t>
            </w:r>
          </w:p>
        </w:tc>
      </w:tr>
      <w:tr>
        <w:trPr>
          <w:trHeight w:val="234"/>
        </w:trPr>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plans or arrangements for any executives, including the NEOs.</w:t>
            </w:r>
          </w:p>
        </w:tc>
      </w:tr>
    </w:tbl>
    <w:p>
      <w:pPr>
        <w:spacing w:after="0" w:line="88"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120" w:right="520"/>
        <w:spacing w:after="0" w:line="713" w:lineRule="auto"/>
        <w:rPr>
          <w:sz w:val="20"/>
          <w:szCs w:val="20"/>
          <w:color w:val="auto"/>
        </w:rPr>
      </w:pPr>
      <w:r>
        <w:rPr>
          <w:rFonts w:ascii="Times New Roman" w:cs="Times New Roman" w:eastAsia="Times New Roman" w:hAnsi="Times New Roman"/>
          <w:sz w:val="17"/>
          <w:szCs w:val="17"/>
          <w:i w:val="1"/>
          <w:iCs w:val="1"/>
          <w:color w:val="auto"/>
        </w:rPr>
        <w:t>No option repricing or replacements No executive perquisites</w:t>
      </w:r>
    </w:p>
    <w:p>
      <w:pPr>
        <w:spacing w:after="0" w:line="20" w:lineRule="exact"/>
        <w:rPr>
          <w:sz w:val="20"/>
          <w:szCs w:val="20"/>
          <w:color w:val="auto"/>
        </w:rPr>
      </w:pPr>
      <w:r>
        <w:rPr>
          <w:sz w:val="20"/>
          <w:szCs w:val="20"/>
          <w:color w:val="auto"/>
        </w:rPr>
        <w:br w:type="column"/>
      </w:r>
    </w:p>
    <w:p>
      <w:pPr>
        <w:ind w:right="120"/>
        <w:spacing w:after="0" w:line="282" w:lineRule="auto"/>
        <w:rPr>
          <w:sz w:val="20"/>
          <w:szCs w:val="20"/>
          <w:color w:val="auto"/>
        </w:rPr>
      </w:pPr>
      <w:r>
        <w:rPr>
          <w:rFonts w:ascii="Times New Roman" w:cs="Times New Roman" w:eastAsia="Times New Roman" w:hAnsi="Times New Roman"/>
          <w:sz w:val="18"/>
          <w:szCs w:val="18"/>
          <w:color w:val="auto"/>
        </w:rPr>
        <w:t>We do not alter the exercise price of underwater stock options or issue replacement options with a new exercise price.</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provide benefits to our NEOs on the same basis as provided to all of our employees,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200" w:lineRule="exact"/>
        <w:rPr>
          <w:sz w:val="20"/>
          <w:szCs w:val="20"/>
          <w:color w:val="auto"/>
        </w:rPr>
      </w:pPr>
    </w:p>
    <w:p>
      <w:pPr>
        <w:sectPr>
          <w:pgSz w:w="11900" w:h="16838" w:orient="portrait"/>
          <w:cols w:equalWidth="0" w:num="2">
            <w:col w:w="3260" w:space="720"/>
            <w:col w:w="7160"/>
          </w:cols>
          <w:pgMar w:left="320" w:top="482" w:right="439" w:bottom="1440" w:gutter="0" w:footer="0" w:header="0"/>
          <w:type w:val="continuous"/>
        </w:sectPr>
      </w:pP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Determine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Remuneration and Nomination Committee</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Our Remuneration and Nomination Committee acts on behalf of the Board in overseeing the compensation arrangements for our executive officers. This includes reviewing our compensation programs, assessing our compensation risk profile, establishing our compensation peer group, and reviewing our compensation structure and pay mix to ensure alignment with our compensation philosophy and objectives.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81" w:lineRule="auto"/>
        <w:rPr>
          <w:sz w:val="20"/>
          <w:szCs w:val="20"/>
          <w:color w:val="auto"/>
        </w:rPr>
      </w:pPr>
      <w:r>
        <w:rPr>
          <w:rFonts w:ascii="Times New Roman" w:cs="Times New Roman" w:eastAsia="Times New Roman" w:hAnsi="Times New Roman"/>
          <w:sz w:val="17"/>
          <w:szCs w:val="17"/>
          <w:color w:val="auto"/>
        </w:rPr>
        <w:t>Typically, the Remuneration and Nomination Committee uses its meetings during the first quarter of the year to determine its recommendations regarding annual compensation, bonus and equity awards, and performance objectives for the NEOs. At other meetings throughout the year, the Remuneration and Nomination Committee considers matters such as compensation for new executive hires, as well as high-level strategic issues, such as the efficacy of the Company’s compensation strategy, potential modifications to that strategy, and new trends, plans or approaches to compensation.</w:t>
      </w:r>
    </w:p>
    <w:p>
      <w:pPr>
        <w:spacing w:after="0" w:line="16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Remuneration and Nomination Committee assists the Board in evaluating the performance of the Chief Executive Officer and recommends any adjustments to his compensation, as well as awards to be granted. As part of any of its deliberations, the Remuneration and Nomination Committee may review and consider, as appropriate, materials such as financial reports and projections, operational data, tax and accounting information, tally sheets that set forth the total compensation that may become payable to executives in various hypothetical scenarios, stock ownership information, Company stock performance data, analyses of historical executive compensation levels and current Company-wide compensation levels, and the recommendations of the Remuneration and Nomination Committee’s compensation consultant and the Chief People Officer, including analyses of executive compensation paid at comparable companies. These materials provide a framework for decision-making regarding compensation opportunities and final compensation determinations for each NEO. The Remuneration and Nomination Committee members arrive at compensation recommendations after considering the factors they deem relevant in light of their individual experience, business judgment, and knowledge of the Company, each NEO, and the competitive market.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Chief Executive Officer</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performing its responsibilities, the Remuneration and Nomination Committee consults with the Chief Executive Officer, the Chief People Officer and other members of our management team. Management assists the Remuneration and Nomination Committee by providing information on corporate and individual performance, market compensation data, and management’s perspective on compensation matters. Our Chief People Officer also consults with the chair of the Remuneration and Nomination Committee regarding the agenda for Remuneration and Nomination Committee meetings.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salary and incentive opportunities, program structures, and other compensation-related matters for senior managers who report directly to the Chief Executive Officer are subject to prior recommendation from the Chief Executive Officer. The Remuneration and Nomination Committee considers these recommendations as one factor in determining its recommendation regarding compensation of our executive officers, but ultimately the Board is responsible for making compensation decisions concerning senior executives. Our Chief Executive Officer is not present during any deliberations or decision-making regarding his compensation.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Compensation Consultant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Since August 2020, the Remuneration and Nomination Committee has engaged Compensia, Inc., a nationally recognized compensation consulting firm, to serve as its independent compensation consultant. The Company requested that Compensia:</w:t>
      </w:r>
    </w:p>
    <w:p>
      <w:pPr>
        <w:spacing w:after="0" w:line="67" w:lineRule="exact"/>
        <w:rPr>
          <w:sz w:val="20"/>
          <w:szCs w:val="20"/>
          <w:color w:val="auto"/>
        </w:rPr>
      </w:pPr>
    </w:p>
    <w:p>
      <w:pPr>
        <w:ind w:left="1080" w:right="24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strategy and practices in supporting and reinforcing the Company’s long-term strategic goals; and</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Company’s compensation strategy and in developing and implementing an executive compensation program to execute that strategy.</w:t>
      </w:r>
    </w:p>
    <w:p>
      <w:pPr>
        <w:spacing w:after="0" w:line="162"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At the request of the Remuneration and Nomination Committee, Compensia developed a comparative group of companies and performed analyses of competitive performance and compensation levels for that group. Our Chief People Officer reviews compensation data from public US-based software companies with a revenue range between $50 million and $500 million. The Chief People Officer applies an aging factor to take into account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00"/>
          </w:cols>
          <w:pgMar w:left="320" w:top="482"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market changes. The Chief People Officer ultimately develops recommendations regarding the form and amounts of compensation for the NEOs.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an active dialogue, the Remuneration and Nomination Committee recommended that the Board approve those recommendations.</w:t>
      </w:r>
    </w:p>
    <w:p>
      <w:pPr>
        <w:spacing w:after="0" w:line="207"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Compensia consults with the Chair of the Remuneration and Nomination Committee regarding the agenda for committee meetings, and representatives from Compensia attend certain Remuneration and Nomination Committee meetings, executive sessions, and preparatory meetings as requested. Compensia also advises our Remuneration and Nomination Committee on public disclosures relating to our executive compensation programs.</w:t>
      </w:r>
    </w:p>
    <w:p>
      <w:pPr>
        <w:spacing w:after="0" w:line="158"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Remuneration and Nomination Committee has assessed, and periodically confirms, the necessary criteria and has determined that the engagement of Compensia does not raise any conflicts of interest or other similar concerns. Compensia reports directly to our Remuneration and Nomination Committee and does not provide any non-compensation-related services to the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Market Data</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Remuneration and Nomination Committee reviews and considers the compensation levels and practices of a group of peer companies for purposes of assessing the competitive market positioning of our executive compensation program. This peer group consists primarily of companies in the application software, internet services, and interactive media industries that are similar to us in terms of revenue (between $50 million and $500 million), market capitalization (0.25x to 4.0x), profitability, and headcount. The Remuneration and Nomination Committee will review the peer group for suitability at least annually with our compensation consultant to account for any year-over-year changes to our business and the businesses of our peer companies and modify the peer group as needed. The Remuneration and Nomination Committee utilizes the compensation of executive officers of the companies in this peer group data as one reference point along with various other factors, such as the individual’s performance, experience, and competitive market conditions.</w:t>
      </w:r>
    </w:p>
    <w:p>
      <w:pPr>
        <w:spacing w:after="0" w:line="192"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We believe that the compensation practices of our peer group provided us with appropriate compensation reference points for evaluating and determining the compensation of our NEOs during 2023.</w:t>
      </w:r>
    </w:p>
    <w:p>
      <w:pPr>
        <w:spacing w:after="0" w:line="162"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 November 2022, the Remuneration and Nomination Committee reviewed the current peer group constituents with Compensia to ensure continued alignment with our business direction and financial profile. Following this review, the Remuneration and Nomination Committee approved the 2023 peer group shown below.</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3780" w:type="dxa"/>
            <w:vAlign w:val="bottom"/>
          </w:tcPr>
          <w:p>
            <w:pPr>
              <w:ind w:left="1800"/>
              <w:spacing w:after="0"/>
              <w:rPr>
                <w:sz w:val="20"/>
                <w:szCs w:val="20"/>
                <w:color w:val="auto"/>
              </w:rPr>
            </w:pPr>
            <w:r>
              <w:rPr>
                <w:rFonts w:ascii="Times New Roman" w:cs="Times New Roman" w:eastAsia="Times New Roman" w:hAnsi="Times New Roman"/>
                <w:sz w:val="14"/>
                <w:szCs w:val="14"/>
                <w:b w:val="1"/>
                <w:bCs w:val="1"/>
                <w:color w:val="auto"/>
              </w:rPr>
              <w:t>Peer Group 2023</w:t>
            </w:r>
          </w:p>
        </w:tc>
        <w:tc>
          <w:tcPr>
            <w:tcW w:w="3020" w:type="dxa"/>
            <w:vAlign w:val="bottom"/>
          </w:tcPr>
          <w:p>
            <w:pPr>
              <w:spacing w:after="0"/>
              <w:rPr>
                <w:sz w:val="13"/>
                <w:szCs w:val="13"/>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American Software (AMSW.A)</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Mitek Systems (MITK)</w:t>
            </w: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PagerDuty (PD)</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Couchbase (BASE)</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MiX Telematics (MIX)</w:t>
            </w: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9"/>
              </w:rPr>
              <w:t>Ping Identity Holding (PING)</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CS Disco (LAW)</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Nextdoor Holdings (KIND)</w:t>
            </w: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ShotSpotter (SSTI)</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eGain (EGAN)</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Nitro Software (NTO)</w:t>
            </w: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Sumo Logic (SUMO)</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Eventbrite (EB)</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ON24 (ONTF)</w:t>
            </w: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System1 (SST)</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Globalstar (GSAT)</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Ooma (OOMA)</w:t>
            </w: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TrueCar (TRUE)</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LiveVox Holdings (LVOX)</w:t>
            </w:r>
          </w:p>
        </w:tc>
        <w:tc>
          <w:tcPr>
            <w:tcW w:w="3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OptimizeRx (OPRX)</w:t>
            </w: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Veritone (VERI)</w:t>
            </w:r>
          </w:p>
        </w:tc>
      </w:tr>
      <w:tr>
        <w:trPr>
          <w:trHeight w:val="364"/>
        </w:trPr>
        <w:tc>
          <w:tcPr>
            <w:tcW w:w="3180" w:type="dxa"/>
            <w:vAlign w:val="bottom"/>
          </w:tcPr>
          <w:p>
            <w:pPr>
              <w:spacing w:after="0"/>
              <w:rPr>
                <w:sz w:val="24"/>
                <w:szCs w:val="24"/>
                <w:color w:val="auto"/>
              </w:rPr>
            </w:pPr>
          </w:p>
        </w:tc>
        <w:tc>
          <w:tcPr>
            <w:tcW w:w="378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62</w:t>
            </w:r>
          </w:p>
        </w:tc>
        <w:tc>
          <w:tcPr>
            <w:tcW w:w="3020" w:type="dxa"/>
            <w:vAlign w:val="bottom"/>
          </w:tcPr>
          <w:p>
            <w:pPr>
              <w:spacing w:after="0"/>
              <w:rPr>
                <w:sz w:val="24"/>
                <w:szCs w:val="24"/>
                <w:color w:val="auto"/>
              </w:rPr>
            </w:pPr>
          </w:p>
        </w:tc>
      </w:tr>
    </w:tbl>
    <w:p>
      <w:pPr>
        <w:sectPr>
          <w:pgSz w:w="11900" w:h="16838" w:orient="portrait"/>
          <w:cols w:equalWidth="0" w:num="1">
            <w:col w:w="11020"/>
          </w:cols>
          <w:pgMar w:left="320" w:top="482" w:right="5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Executive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2023 Compensation Elements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executive compensation program consists primarily of the three components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171450</wp:posOffset>
            </wp:positionV>
            <wp:extent cx="5143500" cy="24942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40" w:right="400" w:hanging="424"/>
        <w:spacing w:after="0" w:line="312" w:lineRule="auto"/>
        <w:tabs>
          <w:tab w:leader="none" w:pos="5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Burke’s and Ms. Antonoff’s fiscal 2023 RSU awards vest over a three-year period, and Ms. Stick’s award vests over a four-year vesting period. In 2023, Mr. Hulls did not receive a long-term equity award. For more information, see “</w:t>
      </w:r>
      <w:r>
        <w:rPr>
          <w:rFonts w:ascii="Times New Roman" w:cs="Times New Roman" w:eastAsia="Times New Roman" w:hAnsi="Times New Roman"/>
          <w:sz w:val="17"/>
          <w:szCs w:val="17"/>
          <w:i w:val="1"/>
          <w:iCs w:val="1"/>
          <w:color w:val="auto"/>
        </w:rPr>
        <w:t>One-Time Retention Bonus for Chris Hulls.</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While the Remuneration and Nomination Committee believes this structure is most appropriate for the NEOs at our current stage, we have introduced PRSUs for our CEO beginning in 2024, as described in “</w:t>
      </w:r>
      <w:r>
        <w:rPr>
          <w:rFonts w:ascii="Times New Roman" w:cs="Times New Roman" w:eastAsia="Times New Roman" w:hAnsi="Times New Roman"/>
          <w:sz w:val="18"/>
          <w:szCs w:val="18"/>
          <w:i w:val="1"/>
          <w:iCs w:val="1"/>
          <w:color w:val="auto"/>
        </w:rPr>
        <w:t>Introduction of Performance Equity Plan</w:t>
      </w:r>
      <w:r>
        <w:rPr>
          <w:rFonts w:ascii="Times New Roman" w:cs="Times New Roman" w:eastAsia="Times New Roman" w:hAnsi="Times New Roman"/>
          <w:sz w:val="18"/>
          <w:szCs w:val="18"/>
          <w:color w:val="auto"/>
        </w:rPr>
        <w:t>” above. In addition to our CEO, Mr. Burke and Ms. Antonoff will also receive PRSUs as part of their long-term equity structure. As part of its ongoing review of our compensation programs, the Remuneration and Nomination Committee will continue to consider whether our incentive structure should change as Life360 matures.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base salary for each NEO is set at a level that is commensurate with the executive’s duties and authority, contributions, prior experience, and sustained performance. Our NEOs are parties to employment agreements with the Company, each as described further below, which set forth initial base salary entitlements.</w:t>
      </w:r>
    </w:p>
    <w:p>
      <w:pPr>
        <w:spacing w:after="0" w:line="176" w:lineRule="exact"/>
        <w:rPr>
          <w:sz w:val="20"/>
          <w:szCs w:val="20"/>
          <w:color w:val="auto"/>
        </w:rPr>
      </w:pPr>
    </w:p>
    <w:p>
      <w:pPr>
        <w:ind w:left="120" w:right="60"/>
        <w:spacing w:after="0" w:line="230" w:lineRule="auto"/>
        <w:rPr>
          <w:sz w:val="20"/>
          <w:szCs w:val="20"/>
          <w:color w:val="auto"/>
        </w:rPr>
      </w:pPr>
      <w:r>
        <w:rPr>
          <w:rFonts w:ascii="Times New Roman" w:cs="Times New Roman" w:eastAsia="Times New Roman" w:hAnsi="Times New Roman"/>
          <w:sz w:val="18"/>
          <w:szCs w:val="18"/>
          <w:color w:val="auto"/>
        </w:rPr>
        <w:t>Consistent with our long-term oriented philosophy, base salaries represent a small portion of the NEOs’ total direct compensation. In setting base salary amounts, we aim for internal equity among executives in similar roles and with similar performance and tenure. The 2023 base salaries for our NEOs, shown below, fell between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percentiles of our peer group. Increases in base salary were in line with the normal merit process that reviews individual performance and benchmarking against the peer group.</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 Base Salary</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3"/>
        </w:trPr>
        <w:tc>
          <w:tcPr>
            <w:tcW w:w="21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 Hulls</w:t>
            </w:r>
          </w:p>
        </w:tc>
        <w:tc>
          <w:tcPr>
            <w:tcW w:w="860" w:type="dxa"/>
            <w:vAlign w:val="bottom"/>
            <w:tcBorders>
              <w:top w:val="single" w:sz="8" w:color="CCEEFF"/>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Chief Executive Officer</w:t>
            </w: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none</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Chief Financial Officer</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tcPr>
          <w:p>
            <w:pPr>
              <w:spacing w:after="0"/>
              <w:rPr>
                <w:sz w:val="18"/>
                <w:szCs w:val="18"/>
                <w:color w:val="auto"/>
              </w:rPr>
            </w:pP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6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8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6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General Counsel</w:t>
            </w:r>
          </w:p>
        </w:tc>
        <w:tc>
          <w:tcPr>
            <w:tcW w:w="8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26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GM, International</w:t>
            </w:r>
          </w:p>
        </w:tc>
        <w:tc>
          <w:tcPr>
            <w:tcW w:w="8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396,911</w:t>
            </w:r>
          </w:p>
        </w:tc>
        <w:tc>
          <w:tcPr>
            <w:tcW w:w="8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none</w:t>
            </w:r>
          </w:p>
        </w:tc>
      </w:tr>
      <w:tr>
        <w:trPr>
          <w:trHeight w:val="365"/>
        </w:trPr>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w w:val="99"/>
              </w:rPr>
              <w:t>63</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82"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and Ms. Stick commenced employment in 2023, amounts in this table reflect their annualized salary.</w:t>
      </w:r>
    </w:p>
    <w:p>
      <w:pPr>
        <w:spacing w:after="0" w:line="27"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Rice’s base salary was increased effective April 1, 2023. For additional information, refer to “—Summary Compensation Table” below.</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Incentive Plan</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annual incentive plan is structured to promote the achievement of specific and measurable goals approved by the Remuneration and Nomination Committee at the beginning of the year. We use the same metrics to determine the Company and business unit portion of the annual incentive awards for all executives to promote an enterprise-wide mindset. The goals for the individual portion of the CEO’s annual incentive is set by the Remuneration and Nomination Committee and other executive’s annual incentives are set by the individual manager.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Target Incentive Opportunities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At the beginning of 2023, the Remuneration and Nomination Committee along with management set target bonus opportunities for the NEOs then in office. Target bonus opportunities for Ms. Antonoff and Ms. Stick were set when they joined the Company later in the year.</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300" w:type="dxa"/>
            <w:vAlign w:val="bottom"/>
          </w:tcPr>
          <w:p>
            <w:pPr>
              <w:spacing w:after="0"/>
              <w:rPr>
                <w:sz w:val="15"/>
                <w:szCs w:val="15"/>
                <w:color w:val="auto"/>
              </w:rPr>
            </w:pPr>
          </w:p>
        </w:tc>
        <w:tc>
          <w:tcPr>
            <w:tcW w:w="236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25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Target Bonus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Target Bonus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6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gridSpan w:val="2"/>
            <w:vMerge w:val="continue"/>
            <w:shd w:val="clear" w:color="auto" w:fill="CCEEFF"/>
          </w:tcPr>
          <w:p>
            <w:pPr>
              <w:spacing w:after="0"/>
              <w:rPr>
                <w:sz w:val="17"/>
                <w:szCs w:val="17"/>
                <w:color w:val="auto"/>
              </w:rPr>
            </w:pPr>
          </w:p>
        </w:tc>
        <w:tc>
          <w:tcPr>
            <w:tcW w:w="162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9"/>
              </w:rPr>
              <w:t>$ 500,000</w:t>
            </w:r>
          </w:p>
        </w:tc>
        <w:tc>
          <w:tcPr>
            <w:tcW w:w="860" w:type="dxa"/>
            <w:vAlign w:val="bottom"/>
            <w:vMerge w:val="continue"/>
            <w:shd w:val="clear" w:color="auto" w:fill="CCEEFF"/>
          </w:tcPr>
          <w:p>
            <w:pPr>
              <w:spacing w:after="0"/>
              <w:rPr>
                <w:sz w:val="17"/>
                <w:szCs w:val="17"/>
                <w:color w:val="auto"/>
              </w:rPr>
            </w:pPr>
          </w:p>
        </w:tc>
        <w:tc>
          <w:tcPr>
            <w:tcW w:w="1640" w:type="dxa"/>
            <w:vAlign w:val="bottom"/>
            <w:gridSpan w:val="2"/>
            <w:shd w:val="clear" w:color="auto" w:fill="CCEEFF"/>
          </w:tcPr>
          <w:p>
            <w:pPr>
              <w:jc w:val="right"/>
              <w:ind w:right="400"/>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40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23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9"/>
              </w:rPr>
              <w:t>$ 400,000</w:t>
            </w:r>
          </w:p>
        </w:tc>
        <w:tc>
          <w:tcPr>
            <w:tcW w:w="25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23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99"/>
              </w:rPr>
              <w:t>$ 450,000</w:t>
            </w:r>
          </w:p>
        </w:tc>
        <w:tc>
          <w:tcPr>
            <w:tcW w:w="2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50%</w:t>
            </w: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236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9"/>
              </w:rPr>
              <w:t>$ 320,000</w:t>
            </w:r>
          </w:p>
        </w:tc>
        <w:tc>
          <w:tcPr>
            <w:tcW w:w="25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96,000</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236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99"/>
              </w:rPr>
              <w:t>$ 396,911</w:t>
            </w:r>
          </w:p>
        </w:tc>
        <w:tc>
          <w:tcPr>
            <w:tcW w:w="25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660" w:hanging="544"/>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and Ms. Stick commenced employment in 2023, amounts reflect their annualized target bonus amounts.</w:t>
      </w:r>
    </w:p>
    <w:p>
      <w:pPr>
        <w:spacing w:after="0" w:line="27" w:lineRule="exact"/>
        <w:rPr>
          <w:sz w:val="20"/>
          <w:szCs w:val="20"/>
          <w:color w:val="auto"/>
        </w:rPr>
      </w:pPr>
    </w:p>
    <w:p>
      <w:pPr>
        <w:ind w:left="120" w:right="380" w:hanging="4"/>
        <w:spacing w:after="0" w:line="51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Rice’s base salary was increased effective April 1, 2023. For additional information, refer to “—Summary Compensation Table” below. For all of the NEOs except Mr. Hulls, final payouts in 2023 were determined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6350</wp:posOffset>
            </wp:positionV>
            <wp:extent cx="5134610" cy="411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346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Remuneration and Nomination Committee determined that Mr. Hulls’ 2023 annual incentive award would consist of two components: the first, comprising 80% of the award, based on individual performance and the second, comprising 20% of the award, based on Company performance. 37.5% of the individual performance component was tied to company-wide performance metrics such as membership, Paying Circles and revenue targets which were separate from the company business objectives that applied to determining target bonus for the senior management team. 62.5% of the individual performance component was focused on Company aligned goals of building and retaining a high functioning management team. In 2023, the Board elected to increase Mr. Hulls’ target bonus from 50% to 100% of his base salary for 2023 to provide additional upside potential for achievement of the performance objectives set forth in his annual target bonus. The Board recognizes the amount of growth and change in 2023 required a heavy CEO focus on internal executive capabilities and adding experienced executive staff to enable the company to achieve its growth objectives. These incentive awards are intended to focus the effort of our CEO on the achievement of long-term objectives and align the interests of the Company with the CEO.</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82"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and Business Unit Performance Metrics and Results</w:t>
      </w:r>
    </w:p>
    <w:p>
      <w:pPr>
        <w:spacing w:after="0" w:line="121"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For each of the Company and business unit performance metrics, the Remuneration and Nomination Committee sets a “primary” target. In 2023 these targets were aggressive, typically at least 20% higher than 2022 results. The Company performance multiplier ultimately is determined based upon how many of these targets are attained. The exact payout percentage, which can range from 0-200% (with a 100% target), is decided by the Remuneration and Nomination Committee after consulting with the CEO. While there is no set formula, the following examples illustrate potential outcomes:</w:t>
      </w:r>
    </w:p>
    <w:p>
      <w:pPr>
        <w:spacing w:after="0" w:line="21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misses all primary targets: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than 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Company hits half of its primary targets:</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Approximately 50%</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hits all primary targets:</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Approximately 100%</w:t>
            </w:r>
          </w:p>
        </w:tc>
      </w:tr>
    </w:tbl>
    <w:p>
      <w:pPr>
        <w:spacing w:after="0" w:line="19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part of its assessment, the Remuneration and Nomination Committee will consider how the Company achieved particular objectives, as well as external factors, such as the macroeconomic environment or unplanned regulatory work, that affected our results. The financial performance measures that the Company considers to have been the most important in linking compensation actually paid to our NEOs to company performance for fiscal 2023 include adjusted EBITDA, Direct Revenue AMR, and paying circles.</w:t>
      </w:r>
    </w:p>
    <w:p>
      <w:pPr>
        <w:spacing w:after="0" w:line="180"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For 2023, the Remuneration and Nomination Committee determined attainment of the Company performance multiplier at 120% based on the achievements of targets shown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millions, except ARPPC)</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Metric</w:t>
            </w:r>
          </w:p>
        </w:tc>
        <w:tc>
          <w:tcPr>
            <w:tcW w:w="5920" w:type="dxa"/>
            <w:vAlign w:val="bottom"/>
            <w:vMerge w:val="restart"/>
          </w:tcPr>
          <w:p>
            <w:pPr>
              <w:spacing w:after="0"/>
              <w:rPr>
                <w:sz w:val="13"/>
                <w:szCs w:val="13"/>
                <w:color w:val="auto"/>
              </w:rPr>
            </w:pPr>
          </w:p>
        </w:tc>
        <w:tc>
          <w:tcPr>
            <w:tcW w:w="1220" w:type="dxa"/>
            <w:vAlign w:val="bottom"/>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5"/>
              </w:rPr>
              <w:t>Prior Year</w:t>
            </w:r>
          </w:p>
        </w:tc>
        <w:tc>
          <w:tcPr>
            <w:tcW w:w="100" w:type="dxa"/>
            <w:vAlign w:val="bottom"/>
          </w:tcPr>
          <w:p>
            <w:pPr>
              <w:spacing w:after="0"/>
              <w:rPr>
                <w:sz w:val="13"/>
                <w:szCs w:val="13"/>
                <w:color w:val="auto"/>
              </w:rPr>
            </w:pPr>
          </w:p>
        </w:tc>
        <w:tc>
          <w:tcPr>
            <w:tcW w:w="5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5920" w:type="dxa"/>
            <w:vAlign w:val="bottom"/>
            <w:vMerge w:val="continue"/>
          </w:tcPr>
          <w:p>
            <w:pPr>
              <w:spacing w:after="0"/>
              <w:rPr>
                <w:sz w:val="15"/>
                <w:szCs w:val="15"/>
                <w:color w:val="auto"/>
              </w:rPr>
            </w:pPr>
          </w:p>
        </w:tc>
        <w:tc>
          <w:tcPr>
            <w:tcW w:w="1220" w:type="dxa"/>
            <w:vAlign w:val="bottom"/>
            <w:gridSpan w:val="3"/>
          </w:tcPr>
          <w:p>
            <w:pPr>
              <w:jc w:val="right"/>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5"/>
                <w:szCs w:val="15"/>
                <w:color w:val="auto"/>
              </w:rPr>
            </w:pPr>
          </w:p>
        </w:tc>
        <w:tc>
          <w:tcPr>
            <w:tcW w:w="8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720"/>
              <w:spacing w:after="0" w:line="160" w:lineRule="exact"/>
              <w:rPr>
                <w:sz w:val="20"/>
                <w:szCs w:val="20"/>
                <w:color w:val="auto"/>
              </w:rPr>
            </w:pPr>
            <w:r>
              <w:rPr>
                <w:rFonts w:ascii="Times New Roman" w:cs="Times New Roman" w:eastAsia="Times New Roman" w:hAnsi="Times New Roman"/>
                <w:sz w:val="14"/>
                <w:szCs w:val="14"/>
                <w:b w:val="1"/>
                <w:bCs w:val="1"/>
                <w:color w:val="auto"/>
              </w:rPr>
              <w:t>Result</w:t>
            </w:r>
          </w:p>
        </w:tc>
        <w:tc>
          <w:tcPr>
            <w:tcW w:w="102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90"/>
        </w:trPr>
        <w:tc>
          <w:tcPr>
            <w:tcW w:w="634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Overall targets</w:t>
            </w:r>
          </w:p>
        </w:tc>
        <w:tc>
          <w:tcPr>
            <w:tcW w:w="1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for Year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305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Rev AMR</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287</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274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Circles</w:t>
            </w:r>
          </w:p>
        </w:tc>
        <w:tc>
          <w:tcPr>
            <w:tcW w:w="18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Unit Primary targets – SUBSCRIPTION</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(all subs) (non-GAAP) (2)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ARPPC (Life360 only)</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121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98.4%</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Unit Primary targets – DEVICE</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Units (Gross sell-in) (Units not SKUs)</w:t>
            </w:r>
          </w:p>
        </w:tc>
        <w:tc>
          <w:tcPr>
            <w:tcW w:w="18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4.0</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(non-GAAP) (3)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54.5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198"/>
        </w:trPr>
        <w:tc>
          <w:tcPr>
            <w:tcW w:w="4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80"/>
              <w:spacing w:after="0" w:line="198" w:lineRule="exact"/>
              <w:rPr>
                <w:sz w:val="20"/>
                <w:szCs w:val="20"/>
                <w:color w:val="auto"/>
              </w:rPr>
            </w:pPr>
            <w:r>
              <w:rPr>
                <w:rFonts w:ascii="Times New Roman" w:cs="Times New Roman" w:eastAsia="Times New Roman" w:hAnsi="Times New Roman"/>
                <w:sz w:val="18"/>
                <w:szCs w:val="18"/>
                <w:color w:val="auto"/>
                <w:w w:val="95"/>
              </w:rPr>
              <w:t>5.5m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360"/>
              <w:spacing w:after="0" w:line="198" w:lineRule="exact"/>
              <w:rPr>
                <w:sz w:val="20"/>
                <w:szCs w:val="20"/>
                <w:color w:val="auto"/>
              </w:rPr>
            </w:pPr>
            <w:r>
              <w:rPr>
                <w:rFonts w:ascii="Times New Roman" w:cs="Times New Roman" w:eastAsia="Times New Roman" w:hAnsi="Times New Roman"/>
                <w:sz w:val="18"/>
                <w:szCs w:val="18"/>
                <w:color w:val="auto"/>
              </w:rPr>
              <w:t>8.2m /</w:t>
            </w:r>
          </w:p>
        </w:tc>
        <w:tc>
          <w:tcPr>
            <w:tcW w:w="32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560"/>
              <w:spacing w:after="0" w:line="198" w:lineRule="exact"/>
              <w:rPr>
                <w:sz w:val="20"/>
                <w:szCs w:val="20"/>
                <w:color w:val="auto"/>
              </w:rPr>
            </w:pPr>
            <w:r>
              <w:rPr>
                <w:rFonts w:ascii="Times New Roman" w:cs="Times New Roman" w:eastAsia="Times New Roman" w:hAnsi="Times New Roman"/>
                <w:sz w:val="18"/>
                <w:szCs w:val="18"/>
                <w:color w:val="auto"/>
              </w:rPr>
              <w:t>15.6m /</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 (non-GAAP) (4)</w:t>
            </w:r>
          </w:p>
        </w:tc>
        <w:tc>
          <w:tcPr>
            <w:tcW w:w="180" w:type="dxa"/>
            <w:vAlign w:val="bottom"/>
          </w:tcPr>
          <w:p>
            <w:pPr>
              <w:spacing w:after="0"/>
              <w:rPr>
                <w:sz w:val="21"/>
                <w:szCs w:val="21"/>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28.6%</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Unit Primary targets – INTERNATIONAL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Paying Circles</w:t>
            </w:r>
          </w:p>
        </w:tc>
        <w:tc>
          <w:tcPr>
            <w:tcW w:w="18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0.5</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Subscription Revenue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Appendix for additional information, including a reconciliation of Adjusted EBITDA to net loss.</w:t>
      </w:r>
    </w:p>
    <w:p>
      <w:pPr>
        <w:spacing w:after="0" w:line="27"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is a non-GAAP financial metric that the Company defines as GAAP subscription revenue adjusted to include the bundled offerings which is the portion of subscription revenue allocated to hardware which is recognized point-in-time rather than over time.</w:t>
      </w:r>
    </w:p>
    <w:p>
      <w:pPr>
        <w:ind w:left="540" w:right="68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revenue is a non-GAAP financial metric that the Company defines as GAAP hardware revenue adjusted to remove the bundled offerings which is the portion of subscription revenue allocated to hardware which is recognized point-in-time rather than over time.</w:t>
      </w:r>
    </w:p>
    <w:p>
      <w:pPr>
        <w:ind w:left="540" w:right="340" w:hanging="424"/>
        <w:spacing w:after="0" w:line="253"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gross margin is a non-GAAP financial metric that the Company defines as Company’s hardware revenue, non-GAAP, left over after cost of hardware revenue, non-GAAP, is subtracted. Cost of hardware revenue, non-GAAP, is defined as cost of hardware revenue, GAAP, excluding (i) depreciation and amortization, (ii) stock-based compensation, (iii) severance and other, (iv) adjustment in connection with membership benefit, and (v) hardware bundling adjustment.</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Individual Performance Metrics and Results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individual performance metrics and targets for the CEO are set by the Remuneration and Nomination Committee and by each individual’s manager for all other eligible employees. After the end of the year, the Remuneration and Nomination Committee determines the CEO’s individual achievements, and each individual manager determines other eligible employees’ individual achievements. The individual performance multiplier can range from 0% to 200%, though typically only exceptional performance would result in a multiplier that exceeds 100%. Individual performance and individual multiplier determinations are based on manager recommendation and not against measurable targets or set goals.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Annual Incentive Awards Are Paid</w:t>
      </w:r>
    </w:p>
    <w:p>
      <w:pPr>
        <w:spacing w:after="0" w:line="12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Because of the rapid changes in our business, the Remuneration and Nomination Committee believes it is important to assess performance more frequently than once each year. Accordingly, progress toward the Company, business unit, and individual goals set forth above is evaluated every six months. At the discretion of the Remuneration and Nomination Committee, the NEOs may receive 50% of their estimated annual incentive awards in July of the applicable year. Once full-year performance is determined, the NEOs will receive the remainder of their annual awards. In July 2023, the NEOs received 50% of their estimated annual incentive awards with the remainder of their annual incentive awards being paid after full-year performance was determined.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Final Annual Incentive Awards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on Life360’s performance and the individual results described above, the NEOs earned the annual incentive awards shown below.</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8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Company Performance</w:t>
            </w:r>
          </w:p>
        </w:tc>
        <w:tc>
          <w:tcPr>
            <w:tcW w:w="240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Individual Performance</w:t>
            </w: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vMerge w:val="restart"/>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38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Multiplier (CEO –</w:t>
            </w:r>
          </w:p>
        </w:tc>
        <w:tc>
          <w:tcPr>
            <w:tcW w:w="24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0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3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20%,</w:t>
            </w:r>
          </w:p>
        </w:tc>
        <w:tc>
          <w:tcPr>
            <w:tcW w:w="240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Multiplier (CEO – 80%,</w:t>
            </w:r>
          </w:p>
        </w:tc>
        <w:tc>
          <w:tcPr>
            <w:tcW w:w="11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Final Bonus</w:t>
            </w:r>
          </w:p>
        </w:tc>
        <w:tc>
          <w:tcPr>
            <w:tcW w:w="0" w:type="dxa"/>
            <w:vAlign w:val="bottom"/>
          </w:tcPr>
          <w:p>
            <w:pPr>
              <w:spacing w:after="0"/>
              <w:rPr>
                <w:sz w:val="1"/>
                <w:szCs w:val="1"/>
                <w:color w:val="auto"/>
              </w:rPr>
            </w:pPr>
          </w:p>
        </w:tc>
      </w:tr>
      <w:tr>
        <w:trPr>
          <w:trHeight w:val="173"/>
        </w:trPr>
        <w:tc>
          <w:tcPr>
            <w:tcW w:w="214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0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38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Other NEOs – 50%)</w:t>
            </w:r>
          </w:p>
        </w:tc>
        <w:tc>
          <w:tcPr>
            <w:tcW w:w="24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Other NEOs – 50%)</w:t>
            </w: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9"/>
              </w:rPr>
              <w:t>500,000</w:t>
            </w:r>
          </w:p>
        </w:tc>
        <w:tc>
          <w:tcPr>
            <w:tcW w:w="238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96.8%</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507,200</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w w:val="99"/>
              </w:rPr>
              <w:t>200,000</w:t>
            </w:r>
          </w:p>
        </w:tc>
        <w:tc>
          <w:tcPr>
            <w:tcW w:w="2380" w:type="dxa"/>
            <w:vAlign w:val="bottom"/>
          </w:tcPr>
          <w:p>
            <w:pPr>
              <w:spacing w:after="0"/>
              <w:rPr>
                <w:sz w:val="18"/>
                <w:szCs w:val="18"/>
                <w:color w:val="auto"/>
              </w:rPr>
            </w:pPr>
          </w:p>
        </w:tc>
        <w:tc>
          <w:tcPr>
            <w:tcW w:w="24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9"/>
              </w:rPr>
              <w:t>225,000</w:t>
            </w:r>
          </w:p>
        </w:tc>
        <w:tc>
          <w:tcPr>
            <w:tcW w:w="2380" w:type="dxa"/>
            <w:vAlign w:val="bottom"/>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120%</w:t>
            </w:r>
          </w:p>
        </w:tc>
        <w:tc>
          <w:tcPr>
            <w:tcW w:w="24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90%</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157,932</w:t>
            </w:r>
          </w:p>
        </w:tc>
        <w:tc>
          <w:tcPr>
            <w:tcW w:w="0" w:type="dxa"/>
            <w:vAlign w:val="bottom"/>
          </w:tcPr>
          <w:p>
            <w:pPr>
              <w:spacing w:after="0"/>
              <w:rPr>
                <w:sz w:val="1"/>
                <w:szCs w:val="1"/>
                <w:color w:val="auto"/>
              </w:rPr>
            </w:pP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Susan Stick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8"/>
                <w:szCs w:val="18"/>
                <w:color w:val="auto"/>
              </w:rPr>
              <w:t>96,000</w:t>
            </w:r>
          </w:p>
        </w:tc>
        <w:tc>
          <w:tcPr>
            <w:tcW w:w="2380" w:type="dxa"/>
            <w:vAlign w:val="bottom"/>
          </w:tcPr>
          <w:p>
            <w:pPr>
              <w:spacing w:after="0"/>
              <w:rPr>
                <w:sz w:val="18"/>
                <w:szCs w:val="18"/>
                <w:color w:val="auto"/>
              </w:rPr>
            </w:pPr>
          </w:p>
        </w:tc>
        <w:tc>
          <w:tcPr>
            <w:tcW w:w="240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44,555</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99"/>
              </w:rPr>
              <w:t>158,764</w:t>
            </w:r>
          </w:p>
        </w:tc>
        <w:tc>
          <w:tcPr>
            <w:tcW w:w="238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20"/>
        <w:spacing w:after="0" w:line="312" w:lineRule="auto"/>
        <w:rPr>
          <w:sz w:val="20"/>
          <w:szCs w:val="20"/>
          <w:color w:val="auto"/>
        </w:rPr>
      </w:pPr>
      <w:r>
        <w:rPr>
          <w:rFonts w:ascii="Times New Roman" w:cs="Times New Roman" w:eastAsia="Times New Roman" w:hAnsi="Times New Roman"/>
          <w:sz w:val="17"/>
          <w:szCs w:val="17"/>
          <w:color w:val="auto"/>
        </w:rPr>
        <w:t>Individual performance payouts were determined by looking at performance compared to individual goals. The Board determines the individual performance achievement score for Mr. Hulls and other executives scores are determined by their direct manager, with input from the Board.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Incentive Awards</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equity awards serve as a long-term retention tool, encouraging executives to remain with Life360 and build value over the long term. In 2023, the NEOs’ equity compensation (with the exception of Mr. Hulls) was delivered in the form of RSUs, but the Company has granted stock options and performance stock options in the past. Beginning in 2024, if stockholders approve Proposal 2, 40% of Mr. Hulls’ equity compensation will be subject to time-based vesting and 60% of Mr. Hulls’ equity compensation will be subject performance-based vesting. Mr. Burke and Ms. Antonoff will also be included in the performance equity plan with 60% of their equity being time based and 40% being performance based. Although the company’s annual bonus is intended to incentivize both goals and specific performance periods, it represents a relatively small percentage of total compensation so with the introduction of this new plan there is a larger portion of these three NEOs’ compensation tied to company performance.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00"/>
          </w:cols>
          <w:pgMar w:left="320" w:top="482"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Target Equity Grants for the Performance Period Beginning in 2023</w:t>
      </w:r>
    </w:p>
    <w:p>
      <w:pPr>
        <w:spacing w:after="0" w:line="121"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In 2023, the Remuneration and Nomination Committee granted equity awards to the NEOs other than Mr. Hulls in the amounts shown below. As described above under “</w:t>
      </w:r>
      <w:r>
        <w:rPr>
          <w:rFonts w:ascii="Times New Roman" w:cs="Times New Roman" w:eastAsia="Times New Roman" w:hAnsi="Times New Roman"/>
          <w:sz w:val="18"/>
          <w:szCs w:val="18"/>
          <w:i w:val="1"/>
          <w:iCs w:val="1"/>
          <w:color w:val="auto"/>
        </w:rPr>
        <w:t>One-Time Retention Bonus for Chris Hulls</w:t>
      </w:r>
      <w:r>
        <w:rPr>
          <w:rFonts w:ascii="Times New Roman" w:cs="Times New Roman" w:eastAsia="Times New Roman" w:hAnsi="Times New Roman"/>
          <w:sz w:val="18"/>
          <w:szCs w:val="18"/>
          <w:color w:val="auto"/>
        </w:rPr>
        <w:t>,” Mr. Hulls did not receive an equity award in 2023.</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33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Target Equity</w:t>
            </w:r>
          </w:p>
        </w:tc>
        <w:tc>
          <w:tcPr>
            <w:tcW w:w="0" w:type="dxa"/>
            <w:vAlign w:val="bottom"/>
          </w:tcPr>
          <w:p>
            <w:pPr>
              <w:spacing w:after="0"/>
              <w:rPr>
                <w:sz w:val="1"/>
                <w:szCs w:val="1"/>
                <w:color w:val="auto"/>
              </w:rPr>
            </w:pPr>
          </w:p>
        </w:tc>
      </w:tr>
      <w:tr>
        <w:trPr>
          <w:trHeight w:val="173"/>
        </w:trPr>
        <w:tc>
          <w:tcPr>
            <w:tcW w:w="3780" w:type="dxa"/>
            <w:vAlign w:val="bottom"/>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Russell Burke</w:t>
            </w:r>
            <w:r>
              <w:rPr>
                <w:rFonts w:ascii="Times New Roman" w:cs="Times New Roman" w:eastAsia="Times New Roman" w:hAnsi="Times New Roman"/>
                <w:sz w:val="25"/>
                <w:szCs w:val="25"/>
                <w:color w:val="auto"/>
                <w:vertAlign w:val="superscript"/>
              </w:rPr>
              <w:t>1</w:t>
            </w:r>
          </w:p>
        </w:tc>
        <w:tc>
          <w:tcPr>
            <w:tcW w:w="3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138,297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1,672,000</w:t>
            </w:r>
          </w:p>
        </w:tc>
        <w:tc>
          <w:tcPr>
            <w:tcW w:w="0" w:type="dxa"/>
            <w:vAlign w:val="bottom"/>
          </w:tcPr>
          <w:p>
            <w:pPr>
              <w:spacing w:after="0"/>
              <w:rPr>
                <w:sz w:val="1"/>
                <w:szCs w:val="1"/>
                <w:color w:val="auto"/>
              </w:rPr>
            </w:pPr>
          </w:p>
        </w:tc>
      </w:tr>
      <w:tr>
        <w:trPr>
          <w:trHeight w:val="216"/>
        </w:trPr>
        <w:tc>
          <w:tcPr>
            <w:tcW w:w="37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Lauren Antonoff</w:t>
            </w:r>
            <w:r>
              <w:rPr>
                <w:rFonts w:ascii="Times New Roman" w:cs="Times New Roman" w:eastAsia="Times New Roman" w:hAnsi="Times New Roman"/>
                <w:sz w:val="25"/>
                <w:szCs w:val="25"/>
                <w:color w:val="auto"/>
                <w:vertAlign w:val="superscript"/>
              </w:rPr>
              <w:t>2</w:t>
            </w:r>
          </w:p>
        </w:tc>
        <w:tc>
          <w:tcPr>
            <w:tcW w:w="3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349,957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Susan Stick</w:t>
            </w:r>
            <w:r>
              <w:rPr>
                <w:rFonts w:ascii="Times New Roman" w:cs="Times New Roman" w:eastAsia="Times New Roman" w:hAnsi="Times New Roman"/>
                <w:sz w:val="25"/>
                <w:szCs w:val="25"/>
                <w:color w:val="auto"/>
                <w:vertAlign w:val="superscript"/>
              </w:rPr>
              <w:t>3</w:t>
            </w:r>
          </w:p>
        </w:tc>
        <w:tc>
          <w:tcPr>
            <w:tcW w:w="3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99,076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35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David Rice</w:t>
            </w:r>
            <w:r>
              <w:rPr>
                <w:rFonts w:ascii="Times New Roman" w:cs="Times New Roman" w:eastAsia="Times New Roman" w:hAnsi="Times New Roman"/>
                <w:sz w:val="26"/>
                <w:szCs w:val="26"/>
                <w:color w:val="auto"/>
                <w:vertAlign w:val="superscript"/>
              </w:rPr>
              <w:t>1</w:t>
            </w:r>
          </w:p>
        </w:tc>
        <w:tc>
          <w:tcPr>
            <w:tcW w:w="33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41,357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values noted below differ from those in the Summary Compensation Table because the closing price of our common stock on the ASX on</w:t>
      </w:r>
    </w:p>
    <w:p>
      <w:pPr>
        <w:spacing w:after="0" w:line="27" w:lineRule="exact"/>
        <w:rPr>
          <w:sz w:val="20"/>
          <w:szCs w:val="20"/>
          <w:color w:val="auto"/>
        </w:rPr>
      </w:pPr>
    </w:p>
    <w:p>
      <w:pPr>
        <w:ind w:left="540" w:right="400"/>
        <w:spacing w:after="0" w:line="250" w:lineRule="auto"/>
        <w:rPr>
          <w:sz w:val="20"/>
          <w:szCs w:val="20"/>
          <w:color w:val="auto"/>
        </w:rPr>
      </w:pPr>
      <w:r>
        <w:rPr>
          <w:rFonts w:ascii="Times New Roman" w:cs="Times New Roman" w:eastAsia="Times New Roman" w:hAnsi="Times New Roman"/>
          <w:sz w:val="18"/>
          <w:szCs w:val="18"/>
          <w:color w:val="auto"/>
        </w:rPr>
        <w:t>each grant date was used to calculate the grant date fair values noted on the Summary Compensation Table rather than the preceding five-day average FMV used to calculate the number of RSUs awarded to each executive.</w:t>
      </w:r>
    </w:p>
    <w:p>
      <w:pPr>
        <w:spacing w:after="0" w:line="1" w:lineRule="exact"/>
        <w:rPr>
          <w:sz w:val="20"/>
          <w:szCs w:val="20"/>
          <w:color w:val="auto"/>
        </w:rPr>
      </w:pPr>
    </w:p>
    <w:p>
      <w:pPr>
        <w:ind w:left="540" w:right="8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February 9, 2023, when the closing price of our common stock on the ASX was $12.01. The five-day average FMV as of February 3, 2023 was $12.09, which was used to calculate the number of RSUs to be awarded to Messrs. Burke and Rice based on a target equity value of $1,672,000 and $500,000, respectively, as presented to the Board on February 6, 2023 for approval.</w:t>
      </w:r>
    </w:p>
    <w:p>
      <w:pPr>
        <w:spacing w:after="0" w:line="1" w:lineRule="exact"/>
        <w:rPr>
          <w:rFonts w:ascii="Times New Roman" w:cs="Times New Roman" w:eastAsia="Times New Roman" w:hAnsi="Times New Roman"/>
          <w:sz w:val="18"/>
          <w:szCs w:val="18"/>
          <w:color w:val="auto"/>
        </w:rPr>
      </w:pPr>
    </w:p>
    <w:p>
      <w:pPr>
        <w:ind w:left="540" w:right="12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May 18, 2023, when the closing price of our common stock on the ASX was $13.85. The five-day average FMV as of May 5, 2023 was $11.43, which was used to calculate the number of RSUs to be awarded to Ms. Antonoff based on a target equity value of $4,000,000 as presented to the Board on May 8, 2023 for approval.</w:t>
      </w:r>
    </w:p>
    <w:p>
      <w:pPr>
        <w:spacing w:after="0" w:line="1"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RSUs were granted on August 11, 2023, when the closing price of our common stock on the ASX was $15.18. The five-day average FMV as of August 4, 2023 was $15.14, which was used to calculate the number of RSUs to be awarded to Ms. Stick based on a target equity value of $1,500,000 as presented to the Board on August 7, 2023 for approval.</w:t>
      </w:r>
    </w:p>
    <w:p>
      <w:pPr>
        <w:spacing w:after="0" w:line="18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determining the aggregate number of shares underlying our equity awards, the Remuneration and Nomination Committee considers the dilutive effect of our equity incentive compensation practices and the overall impact that equity awards will have on stockholder value. The Remuneration and Nomination Committee also considered the value of each NEO’s existing equity holdings, including the current economic value and vesting schedules of any unvested equity awards, and the ability of those unvested holdings to satisfy our reward and retention objectives.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Restricted Stock Units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Remuneration and Nomination Committee believes that RSUs that vest over several years are effective at retaining talented executives and motivating them to continue to pursue Life360’s long-term goals because the value of RSUs is directly tied to our stock price. The RSUs granted in 2023 will vest in equal monthly increments from vest start date until vest end date, so long as the recipient remains in continuous service with Life360. Each RSU represents a contingent right to receive one share of our Common Stock upon vesting.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Practices and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Retirement Savings, Health and Welfare Benefits, and Perquisites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NEOs are not entitled to any perquisites or other personal benefits beyond those made generally available to our other employees.</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including the NEOs, with an opportunity to save for retirement on a tax advantaged basis. Eligible employees are able to defer eligible compensation up to certain limits in the Internal Revenue Code (the “Code”). We provide automatic matching</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contributions of 50% of all of an employee’s contributions, up to a maximum of $3,600 annually. These matching contributions vest 50% after one year of service and 100% after two years of service. Employees are immediately and fully vested in their own contributions. We believe that providing a vehicle for tax-deferred retirement savings and making matching contributions adds to the overall desirability of our executive compensation package and further incentivizes our employees, including our NEOs.</w:t>
      </w:r>
    </w:p>
    <w:p>
      <w:pPr>
        <w:spacing w:after="0" w:line="180"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do not provide any non-qualified deferred compensation benefits and do not have any defined benefit pension or supplemental executive retirement plans.</w:t>
      </w:r>
    </w:p>
    <w:p>
      <w:pPr>
        <w:spacing w:after="0" w:line="162" w:lineRule="exact"/>
        <w:rPr>
          <w:sz w:val="20"/>
          <w:szCs w:val="20"/>
          <w:color w:val="auto"/>
        </w:rPr>
      </w:pPr>
    </w:p>
    <w:p>
      <w:pPr>
        <w:jc w:val="both"/>
        <w:ind w:left="120" w:right="500"/>
        <w:spacing w:after="0" w:line="266" w:lineRule="auto"/>
        <w:rPr>
          <w:sz w:val="20"/>
          <w:szCs w:val="20"/>
          <w:color w:val="auto"/>
        </w:rPr>
      </w:pPr>
      <w:r>
        <w:rPr>
          <w:rFonts w:ascii="Times New Roman" w:cs="Times New Roman" w:eastAsia="Times New Roman" w:hAnsi="Times New Roman"/>
          <w:sz w:val="18"/>
          <w:szCs w:val="18"/>
          <w:color w:val="auto"/>
        </w:rPr>
        <w:t>All of our full-time employees, including the NEOs, are eligible to participate in our health and welfare plans,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entered into employment agreements with each of our NEOs when they joined Life360. Each agreement provides for “at will” employment (meaning either Life360 or the NEO may terminate the employment relationship at any time with or without cause); sets forth the initial title and base salary for the executive; and summarizes the other terms and conditions applicable to the executive’s employment. For additional information, refer to “</w:t>
      </w:r>
      <w:r>
        <w:rPr>
          <w:rFonts w:ascii="Times New Roman" w:cs="Times New Roman" w:eastAsia="Times New Roman" w:hAnsi="Times New Roman"/>
          <w:sz w:val="18"/>
          <w:szCs w:val="18"/>
          <w:i w:val="1"/>
          <w:iCs w:val="1"/>
          <w:color w:val="auto"/>
        </w:rPr>
        <w:t>Executive Compensation—Agreements with Named Executive Officers</w:t>
      </w:r>
      <w:r>
        <w:rPr>
          <w:rFonts w:ascii="Times New Roman" w:cs="Times New Roman" w:eastAsia="Times New Roman" w:hAnsi="Times New Roman"/>
          <w:sz w:val="18"/>
          <w:szCs w:val="18"/>
          <w:color w:val="auto"/>
        </w:rPr>
        <w:t>”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Our NEOs are provided certain protections either in their employment agreement or the terms of the Company’s 2023 Severance and Change in Control Plan. For additional information, refer to </w:t>
      </w:r>
      <w:r>
        <w:rPr>
          <w:rFonts w:ascii="Times New Roman" w:cs="Times New Roman" w:eastAsia="Times New Roman" w:hAnsi="Times New Roman"/>
          <w:sz w:val="18"/>
          <w:szCs w:val="18"/>
          <w:i w:val="1"/>
          <w:iCs w:val="1"/>
          <w:color w:val="auto"/>
        </w:rPr>
        <w:t>“Executive Compensation—Potential Payments Upon Termination or Change in Control”</w:t>
      </w:r>
      <w:r>
        <w:rPr>
          <w:rFonts w:ascii="Times New Roman" w:cs="Times New Roman" w:eastAsia="Times New Roman" w:hAnsi="Times New Roman"/>
          <w:sz w:val="18"/>
          <w:szCs w:val="18"/>
          <w:color w:val="auto"/>
        </w:rPr>
        <w:t xml:space="preserve">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and Tax Considerations</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Company has an equity incentive plan under which various types of equity-based awards including, but not limited to, incentive stock options, non-qualified stock options, restricted stock units, and restricted stock awards can be granted.</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all equity awards, the Company recognizes compensation expense based on the grant-date estimated fair values. The fair value of stock options is determined using the Black-Scholes option pricing model. For restricted stock units and restricted stock awards, the fair value is based on the grant date fair value of the award. The Company recognizes compensation expense for stock option awards, restricted stock units, and restricted stock awards on a straight-line basis over the requisite service period of the award, generally three to four years. Forfeitures are recorded as they occur.</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Under the original version of Section 162(m) of the Code, performance-based compensation, including equity awards, was generally tax deductible by the company. The Tax Cuts and Jobs Act (TCJA) removed this performance-based exception. Section 162(m) limits public companies’ tax deductions for compensation of covered executives to $1 million per individual. The company applies this limit to the deductibility of compensation.</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does not provide tax-reimbursement or deferred compensation.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UMMARY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ABLE</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years ended December 31, 2023, 2022, and 2021 compensation awarded to or paid to, or earned by, the Company’s Chief Executive Officer, Chief Financial Officer, and its three other most highly compensated executive officers at December 31, 2023 (the “Named Executive Officers”).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60"/>
          </w:cols>
          <w:pgMar w:left="320" w:top="482" w:right="5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vMerge w:val="restart"/>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2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(1)</w:t>
            </w:r>
          </w:p>
        </w:tc>
        <w:tc>
          <w:tcPr>
            <w:tcW w:w="8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(2)</w:t>
            </w:r>
          </w:p>
        </w:tc>
        <w:tc>
          <w:tcPr>
            <w:tcW w:w="9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 (3)</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(3)</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(4)</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(5)</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 (6)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500,000</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904,000</w:t>
            </w:r>
          </w:p>
        </w:tc>
        <w:tc>
          <w:tcPr>
            <w:tcW w:w="9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507,200</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1,914,800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Co-Founder, Executive Director, &amp; Chief</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500,000</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566,912</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2,309,293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552,000</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4,400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3,932,605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Officer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393,333</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667,500</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480,131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1,807,064</w:t>
            </w: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Russell Burke (7)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400,000</w:t>
            </w:r>
          </w:p>
        </w:tc>
        <w:tc>
          <w:tcPr>
            <w:tcW w:w="8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1,660,947</w:t>
            </w:r>
          </w:p>
        </w:tc>
        <w:tc>
          <w:tcPr>
            <w:tcW w:w="9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11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2,284,547</w:t>
            </w: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Lauren Antonoff (8)</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Operating Officer</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298,295</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80,000</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4,846,904</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157,932</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5,386,732</w:t>
            </w:r>
          </w:p>
        </w:tc>
        <w:tc>
          <w:tcPr>
            <w:tcW w:w="0" w:type="dxa"/>
            <w:vAlign w:val="bottom"/>
          </w:tcPr>
          <w:p>
            <w:pPr>
              <w:spacing w:after="0"/>
              <w:rPr>
                <w:sz w:val="1"/>
                <w:szCs w:val="1"/>
                <w:color w:val="auto"/>
              </w:rPr>
            </w:pPr>
          </w:p>
        </w:tc>
      </w:tr>
      <w:tr>
        <w:trPr>
          <w:trHeight w:val="198"/>
        </w:trPr>
        <w:tc>
          <w:tcPr>
            <w:tcW w:w="3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David Rice (9)</w:t>
            </w:r>
          </w:p>
        </w:tc>
        <w:tc>
          <w:tcPr>
            <w:tcW w:w="6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2023</w:t>
            </w:r>
          </w:p>
        </w:tc>
        <w:tc>
          <w:tcPr>
            <w:tcW w:w="840" w:type="dxa"/>
            <w:vAlign w:val="bottom"/>
          </w:tcPr>
          <w:p>
            <w:pPr>
              <w:jc w:val="right"/>
              <w:ind w:right="33"/>
              <w:spacing w:after="0" w:line="198" w:lineRule="exact"/>
              <w:rPr>
                <w:sz w:val="20"/>
                <w:szCs w:val="20"/>
                <w:color w:val="auto"/>
              </w:rPr>
            </w:pPr>
            <w:r>
              <w:rPr>
                <w:rFonts w:ascii="Times New Roman" w:cs="Times New Roman" w:eastAsia="Times New Roman" w:hAnsi="Times New Roman"/>
                <w:sz w:val="18"/>
                <w:szCs w:val="18"/>
                <w:color w:val="auto"/>
              </w:rPr>
              <w:t>396,911</w:t>
            </w:r>
          </w:p>
        </w:tc>
        <w:tc>
          <w:tcPr>
            <w:tcW w:w="820" w:type="dxa"/>
            <w:vAlign w:val="bottom"/>
          </w:tcPr>
          <w:p>
            <w:pPr>
              <w:jc w:val="right"/>
              <w:ind w:right="93"/>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496,698</w:t>
            </w:r>
          </w:p>
        </w:tc>
        <w:tc>
          <w:tcPr>
            <w:tcW w:w="94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174,844</w:t>
            </w:r>
          </w:p>
        </w:tc>
        <w:tc>
          <w:tcPr>
            <w:tcW w:w="1140" w:type="dxa"/>
            <w:vAlign w:val="bottom"/>
          </w:tcPr>
          <w:p>
            <w:pPr>
              <w:jc w:val="right"/>
              <w:ind w:right="55"/>
              <w:spacing w:after="0" w:line="198" w:lineRule="exact"/>
              <w:rPr>
                <w:sz w:val="20"/>
                <w:szCs w:val="20"/>
                <w:color w:val="auto"/>
              </w:rPr>
            </w:pPr>
            <w:r>
              <w:rPr>
                <w:rFonts w:ascii="Times New Roman" w:cs="Times New Roman" w:eastAsia="Times New Roman" w:hAnsi="Times New Roman"/>
                <w:sz w:val="18"/>
                <w:szCs w:val="18"/>
                <w:color w:val="auto"/>
              </w:rPr>
              <w:t>123,667</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1,192,120</w:t>
            </w:r>
          </w:p>
        </w:tc>
        <w:tc>
          <w:tcPr>
            <w:tcW w:w="0" w:type="dxa"/>
            <w:vAlign w:val="bottom"/>
          </w:tcPr>
          <w:p>
            <w:pPr>
              <w:spacing w:after="0"/>
              <w:rPr>
                <w:sz w:val="1"/>
                <w:szCs w:val="1"/>
                <w:color w:val="auto"/>
              </w:rPr>
            </w:pPr>
          </w:p>
        </w:tc>
      </w:tr>
      <w:tr>
        <w:trPr>
          <w:trHeight w:val="108"/>
        </w:trPr>
        <w:tc>
          <w:tcPr>
            <w:tcW w:w="3620" w:type="dxa"/>
            <w:vAlign w:val="bottom"/>
            <w:vMerge w:val="continue"/>
          </w:tcPr>
          <w:p>
            <w:pPr>
              <w:spacing w:after="0"/>
              <w:rPr>
                <w:sz w:val="9"/>
                <w:szCs w:val="9"/>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380,000</w:t>
            </w:r>
          </w:p>
        </w:tc>
        <w:tc>
          <w:tcPr>
            <w:tcW w:w="82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101,000</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305,658</w:t>
            </w:r>
          </w:p>
        </w:tc>
        <w:tc>
          <w:tcPr>
            <w:tcW w:w="9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643,226</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172,600</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1,606,084</w:t>
            </w:r>
          </w:p>
        </w:tc>
        <w:tc>
          <w:tcPr>
            <w:tcW w:w="0" w:type="dxa"/>
            <w:vAlign w:val="bottom"/>
          </w:tcPr>
          <w:p>
            <w:pPr>
              <w:spacing w:after="0"/>
              <w:rPr>
                <w:sz w:val="1"/>
                <w:szCs w:val="1"/>
                <w:color w:val="auto"/>
              </w:rPr>
            </w:pPr>
          </w:p>
        </w:tc>
      </w:tr>
      <w:tr>
        <w:trPr>
          <w:trHeight w:val="108"/>
        </w:trPr>
        <w:tc>
          <w:tcPr>
            <w:tcW w:w="36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General Manager, International</w:t>
            </w:r>
          </w:p>
        </w:tc>
        <w:tc>
          <w:tcPr>
            <w:tcW w:w="6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620" w:type="dxa"/>
            <w:vAlign w:val="bottom"/>
            <w:vMerge w:val="continue"/>
          </w:tcPr>
          <w:p>
            <w:pPr>
              <w:spacing w:after="0"/>
              <w:rPr>
                <w:sz w:val="10"/>
                <w:szCs w:val="10"/>
                <w:color w:val="auto"/>
              </w:rPr>
            </w:pPr>
          </w:p>
        </w:tc>
        <w:tc>
          <w:tcPr>
            <w:tcW w:w="6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vMerge w:val="restart"/>
          </w:tcPr>
          <w:p>
            <w:pPr>
              <w:jc w:val="right"/>
              <w:ind w:right="33"/>
              <w:spacing w:after="0"/>
              <w:rPr>
                <w:sz w:val="20"/>
                <w:szCs w:val="20"/>
                <w:color w:val="auto"/>
              </w:rPr>
            </w:pPr>
            <w:r>
              <w:rPr>
                <w:rFonts w:ascii="Times New Roman" w:cs="Times New Roman" w:eastAsia="Times New Roman" w:hAnsi="Times New Roman"/>
                <w:sz w:val="18"/>
                <w:szCs w:val="18"/>
                <w:color w:val="auto"/>
              </w:rPr>
              <w:t>362,500</w:t>
            </w:r>
          </w:p>
        </w:tc>
        <w:tc>
          <w:tcPr>
            <w:tcW w:w="82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444,500</w:t>
            </w:r>
          </w:p>
        </w:tc>
        <w:tc>
          <w:tcPr>
            <w:tcW w:w="94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color w:val="auto"/>
              </w:rPr>
              <w:t>332,214</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117,500</w:t>
            </w:r>
          </w:p>
        </w:tc>
        <w:tc>
          <w:tcPr>
            <w:tcW w:w="114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1,260,314</w:t>
            </w: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Susan Stick (10)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Counsel and Corporate Secretary</w:t>
            </w:r>
          </w:p>
        </w:tc>
        <w:tc>
          <w:tcPr>
            <w:tcW w:w="6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111,111</w:t>
            </w: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40,000</w:t>
            </w: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1,503,974</w:t>
            </w:r>
          </w:p>
        </w:tc>
        <w:tc>
          <w:tcPr>
            <w:tcW w:w="9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44,555</w:t>
            </w:r>
          </w:p>
        </w:tc>
        <w:tc>
          <w:tcPr>
            <w:tcW w:w="11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salary earned during the applicable calendar year.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dollar value of bonus earned by the NEO during the period covered.</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and RSU awards are reported at aggregate grant date fair value in the year granted, as determined in accordance with the provisions of FASB ASC Topic 718. For the assumptions used in valuing these awards for purposes of computing this expense, please see Note 14 of the financial statements in the Company’s Annual Report on Form 10-K for the fiscal year ended December 31, 2023.</w:t>
      </w:r>
    </w:p>
    <w:p>
      <w:pPr>
        <w:spacing w:after="0" w:line="1"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cash bonus amounts earned pursuant to the Life360 Compensation Plan for Board Directors and Company Leadership, discussed in greater detail below.</w:t>
      </w: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amounts reflect company 401(k) contributions of $3,600 per individual.</w:t>
      </w:r>
    </w:p>
    <w:p>
      <w:pPr>
        <w:spacing w:after="0" w:line="9" w:lineRule="exact"/>
        <w:rPr>
          <w:rFonts w:ascii="Times New Roman" w:cs="Times New Roman" w:eastAsia="Times New Roman" w:hAnsi="Times New Roman"/>
          <w:sz w:val="18"/>
          <w:szCs w:val="18"/>
          <w:color w:val="auto"/>
        </w:rPr>
      </w:pPr>
    </w:p>
    <w:p>
      <w:pPr>
        <w:ind w:left="540" w:right="48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31, 2022, Mr. Hulls earned a $304,000 retention bonus pursuant to his Retention Bonus Agreement described in the Retention Bonus Agreement heading below, and a one-time cash retention bonus of $600,000 payable on December 31, 2023 to compensate for the Company’s inability to grant him a long-term equity award in 2023.</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Burke was not an NEO for the fiscal years ended December 31, 2022 or 2021.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Antonoff has served as the Company’s Chief Operating Officer since May 2023.</w:t>
      </w:r>
    </w:p>
    <w:p>
      <w:pPr>
        <w:spacing w:after="0" w:line="9" w:lineRule="exact"/>
        <w:rPr>
          <w:rFonts w:ascii="Times New Roman" w:cs="Times New Roman" w:eastAsia="Times New Roman" w:hAnsi="Times New Roman"/>
          <w:sz w:val="18"/>
          <w:szCs w:val="18"/>
          <w:color w:val="auto"/>
        </w:rPr>
      </w:pPr>
    </w:p>
    <w:p>
      <w:pPr>
        <w:ind w:left="540" w:right="140" w:hanging="424"/>
        <w:spacing w:after="0" w:line="265" w:lineRule="auto"/>
        <w:tabs>
          <w:tab w:leader="none" w:pos="5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Rice was not an NEO for the fiscal year ended December 31, 2022. On January 18, 2023, the Company and Mr. Rice agreed that Mr. Rice would step down from his role as Chief Operating Officer and take on the newly created role as General Manager of International. For the period beginning January 1, 2023 and ending March 31, 2023, Mr. Rice’s salary was paid in U.S. dollars, based on an annualized rate of $380,000. For the period beginning April 1, 2023 and ending December 31, 2023, Mr. Rice’s salary was paid in British pound sterling, based on an annualized rate of approximately $394,000 (calculated by applying the average daily exchange rate for calendar year 2023 of 1.2512 U.S. dollars to British pound sterling to Mr. Rice’s base salary beginning on April 1, 2023 of £315,400). Other compensation for Mr. Rice consists of reimbursement of</w:t>
      </w:r>
    </w:p>
    <w:p>
      <w:pPr>
        <w:ind w:left="540" w:right="2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relocation expenses ($10,728), (ii) housing ($108,088) and (iii) remote work stipend ($1,251), pursuant to his offer letter from the Company relating to his assignment in the United Kingdom. Mr. Rice’s aggregate salary for the fiscal year ended December 31, 2023 reflected in the table was calculated as the sum of the daily pro rata portion of payments made in U.S. dollars and as-converted British pound sterling, respectively.</w:t>
      </w: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Stick has served as the Company’s General Counsel and Corporate Secretary since July 2023.</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For 2023, the compensation program for NEOs consisted of base salary, cash and equity-based incentive compensation, and certain standard employee benefits.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Base salary for each NEO is set at a level that is commensurate with the executive’s duties and authorities, contributions, prior experience and sustained performance. Our NEOs are parties to employment agreements with the Company, each as described further below, which set forth initial base salary entitlements. As of December 31, 2023, the annual base salaries applicable to our NEOs were as follows: Mr. Hulls, $500,000, Mr. Burke, $400,000, Ms. Antonoff, $450,000, Mr. Rice, $380,000, and Ms. Stick, $320,000.</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Bonus Opportunities</w:t>
      </w:r>
    </w:p>
    <w:p>
      <w:pPr>
        <w:spacing w:after="0" w:line="11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January 2020, we adopted the Life360 Compensation Plan for Board Directors and Company Leadership, an annual bonus plan pursuant to which members of the leadership team (including our NEOs) identified by the Remuneration and Nomination Committee may be eligible to receive a cash bonus. The amount of the cash bonus depends on the plan participant’s individual performance and the Company’s performance during the relevant financial year and is calculated as a percentage (between 0% to 200%) of the participant’s target bonus amount. This target bonus amount is determined by the Remuneration and Nomination Committee at the start of each year. For example, a participant with a target bonus amount of $50,000 could be entitled to a bonus of, depending on performance, between $0 to $100,000.</w:t>
      </w:r>
    </w:p>
    <w:p>
      <w:pPr>
        <w:spacing w:after="0" w:line="187" w:lineRule="exact"/>
        <w:rPr>
          <w:sz w:val="20"/>
          <w:szCs w:val="20"/>
          <w:color w:val="auto"/>
        </w:rPr>
      </w:pPr>
    </w:p>
    <w:p>
      <w:pPr>
        <w:jc w:val="both"/>
        <w:ind w:left="120" w:right="20"/>
        <w:spacing w:after="0" w:line="277" w:lineRule="auto"/>
        <w:rPr>
          <w:sz w:val="20"/>
          <w:szCs w:val="20"/>
          <w:color w:val="auto"/>
        </w:rPr>
      </w:pPr>
      <w:r>
        <w:rPr>
          <w:rFonts w:ascii="Times New Roman" w:cs="Times New Roman" w:eastAsia="Times New Roman" w:hAnsi="Times New Roman"/>
          <w:sz w:val="17"/>
          <w:szCs w:val="17"/>
          <w:color w:val="auto"/>
        </w:rPr>
        <w:t>The achievement of the target cash bonus amount is subject to the satisfaction of two performance conditions. 50% of the target payout consists of the achievement of specific targets as against both individual and Company key performance indicators for that year and 50% of the target payout consists of qualitative measures (such as individual or organizational behavior) for that year. An employee’s entitlement to a bonus is assessed, and any bonuses will be paid bi-annually following completion of our regular performance review process. The Board retains absolute discretion in determining whether bonus payments (in whole or in part) are to be made, and the amount to be paid (namely, between 0% to 200% of the target bonus amount).</w:t>
      </w:r>
    </w:p>
    <w:p>
      <w:pPr>
        <w:spacing w:after="0" w:line="168"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annual cash bonuses awarded to each NEO for 2023 performance pursuant to the Life360 Compensation Plan for Board Directors and Company Leadership are set forth above in the Summary Compensation Table in the column titled “</w:t>
      </w:r>
      <w:r>
        <w:rPr>
          <w:rFonts w:ascii="Times New Roman" w:cs="Times New Roman" w:eastAsia="Times New Roman" w:hAnsi="Times New Roman"/>
          <w:sz w:val="18"/>
          <w:szCs w:val="18"/>
          <w:i w:val="1"/>
          <w:iCs w:val="1"/>
          <w:color w:val="auto"/>
        </w:rPr>
        <w:t>Non-Equity Incentive Plan Compensation</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Equity Awards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2023, Mr. Burke received 138,297 RSUs, Ms. Antonoff received 349,957 RSUs, Mr. Rice received 41,357 RSUs, and Ms. Stick received 99,076</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RSUs, in each case pursuant to the terms of the Stock Plan and each as set forth below in the Outstanding Equity Awards as of Fiscal Year End table.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Hulls did not receive any RSUs in 2023.</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employees with an opportunity to save for retirement on a tax advantaged basis. Eligible employees are able to defer eligible compensation up to certain Code limits, which are updated annually. We provide automatic matching contributions of 50% of all of an Employee’s contributions, up to a maximum of $3,600 annually. Our automatic matching contributions are subject to a vesting schedule where 50% of our contributions vest after 1 year of service and 100% of our contributions vest after 2 years of service. Employee contributions are allocated to each participant’s individual account and are then invested in selected investment alternatives according to the participants’ directions.</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60"/>
          </w:cols>
          <w:pgMar w:left="320" w:top="482"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Agreements with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Chris Hulls Employment Agreement</w:t>
      </w:r>
    </w:p>
    <w:p>
      <w:pPr>
        <w:spacing w:after="0" w:line="119" w:lineRule="exact"/>
        <w:rPr>
          <w:sz w:val="20"/>
          <w:szCs w:val="20"/>
          <w:color w:val="auto"/>
        </w:rPr>
      </w:pPr>
    </w:p>
    <w:p>
      <w:pPr>
        <w:ind w:left="120" w:right="180"/>
        <w:spacing w:after="0" w:line="269" w:lineRule="auto"/>
        <w:rPr>
          <w:sz w:val="20"/>
          <w:szCs w:val="20"/>
          <w:color w:val="auto"/>
        </w:rPr>
      </w:pPr>
      <w:r>
        <w:rPr>
          <w:rFonts w:ascii="Times New Roman" w:cs="Times New Roman" w:eastAsia="Times New Roman" w:hAnsi="Times New Roman"/>
          <w:sz w:val="17"/>
          <w:szCs w:val="17"/>
          <w:color w:val="auto"/>
        </w:rPr>
        <w:t>On May 14, 2019, Mr. Hulls entered into an employment agreement with us to serve as Chief Executive Officer. Pursuant to this agreement, Mr. Hulls was entitled to an initial annual base salary of $300,000, which was increased to $400,000 for fiscal year 2021 and further increased to $500,000 for fiscal year 2022. Mr. Hulls is eligible to participate in our employee benefit plans and programs. Mr. Hulls’ employment is “at-will,” provided that we are required to give Mr. Hulls at least six (6) months’ notice in the event of our termination of Mr. Hulls’ employment without Cause (as defined in “</w:t>
      </w:r>
      <w:r>
        <w:rPr>
          <w:rFonts w:ascii="Times New Roman" w:cs="Times New Roman" w:eastAsia="Times New Roman" w:hAnsi="Times New Roman"/>
          <w:sz w:val="17"/>
          <w:szCs w:val="17"/>
          <w:i w:val="1"/>
          <w:iCs w:val="1"/>
          <w:color w:val="auto"/>
        </w:rPr>
        <w:t>Potential Payments and Benefits Upon Termination or Change in Control</w:t>
      </w:r>
      <w:r>
        <w:rPr>
          <w:rFonts w:ascii="Times New Roman" w:cs="Times New Roman" w:eastAsia="Times New Roman" w:hAnsi="Times New Roman"/>
          <w:sz w:val="17"/>
          <w:szCs w:val="17"/>
          <w:color w:val="auto"/>
        </w:rPr>
        <w:t>” below), which excludes terminations due to death or disability, and</w:t>
      </w:r>
    </w:p>
    <w:p>
      <w:pPr>
        <w:spacing w:after="0" w:line="3"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Mr. Hulls is required to provide our Board six (6) months’ notice to terminate his employment voluntarily, although our Board may waive the required notice period to be given by Mr. Hulls. The agreement provides for severance benefits as described in “</w:t>
      </w:r>
      <w:r>
        <w:rPr>
          <w:rFonts w:ascii="Times New Roman" w:cs="Times New Roman" w:eastAsia="Times New Roman" w:hAnsi="Times New Roman"/>
          <w:sz w:val="18"/>
          <w:szCs w:val="18"/>
          <w:i w:val="1"/>
          <w:iCs w:val="1"/>
          <w:color w:val="auto"/>
        </w:rPr>
        <w:t>Potential Payments and Benefits Upon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or Change in Control</w:t>
      </w:r>
      <w:r>
        <w:rPr>
          <w:rFonts w:ascii="Times New Roman" w:cs="Times New Roman" w:eastAsia="Times New Roman" w:hAnsi="Times New Roman"/>
          <w:sz w:val="18"/>
          <w:szCs w:val="18"/>
          <w:color w:val="auto"/>
        </w:rPr>
        <w:t>” below.</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Chris Hulls Retention Bonus Agreement</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In May 2016, we entered into a retention bonus agreement with Mr. Hulls, providing that Mr. Hulls will receive a cash bonus of $304,000 subject to his continued employment with us through December 31, 2022. We paid Mr. Hulls this retention bonus in January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Russell Burke Employment Agreement</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On May 11, 2020, Mr. Burke entered into an employment agreement with us to serve as Chief Financial Officer. Pursuant to this agreement, Mr. Burke was entitled to an initial annual base salary of $300,000, which was increased to $370,000 for fiscal year 2022 and $400,000 for fiscal year 2023, and an annual performance bonus target of $100,000 which has also been increased from time to time. Mr. Burke is eligible to participate in our employee benefit plans and programs. Mr. Burke’s employment is “at-will,” provided that we are required to give Mr. Burke at least six (6) months’ notice in the event of our termination of Mr. Burke’s employment without Cause (as defined in “</w:t>
      </w:r>
      <w:r>
        <w:rPr>
          <w:rFonts w:ascii="Times New Roman" w:cs="Times New Roman" w:eastAsia="Times New Roman" w:hAnsi="Times New Roman"/>
          <w:sz w:val="18"/>
          <w:szCs w:val="18"/>
          <w:i w:val="1"/>
          <w:iCs w:val="1"/>
          <w:color w:val="auto"/>
        </w:rPr>
        <w:t>Potential Payments and Benefits Upon Termination or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below), which excludes terminations due to death or disability and Mr. Burke is required to provide our Board six (6) months’ notice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terminate his employment voluntarily, although our Board may waive the required notice period to be given by Mr. Burke. The agreement provides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Lauren Antonoff Employment Agreement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May 2, 2023, Ms. Antonoff entered into an employment agreement with us to serve as Chief Operating Officer. Pursuant to this agreement,</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Ms. Antonoff was entitled to an annual base salary of $450,000, with an annual performance bonus target of 50% of her annual base salary. Additionally, she received a one-time signing bonus of $80,000. Ms. Antonoff is eligible to participate in our employee benefit plans and programs. Ms. Antonoff was also granted RSU awards in the aggregate amount of $4 million. The RSUs will vest over three years, with one third of the RSUs vesting on the first anniversary of the vesting commencement date, and the remaining RSUs vesting in equal monthly installments thereafter. Ms. Antonoff will be eligible for a refresh RSU award in the amount of $2 million on the first anniversary of her employment and an additional refresh RSU award in the amount of $2 million on the second anniversary of her employment. Each of the refresh RSU awards will vest over four years in equal monthly installments, contingent upon her continuous employment at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through each such vesting date. Ms. Antonoff employment is “at-will,” provided that we are required to give Ms. Antonoff at least six</w:t>
      </w:r>
    </w:p>
    <w:p>
      <w:pPr>
        <w:spacing w:after="0" w:line="27" w:lineRule="exact"/>
        <w:rPr>
          <w:sz w:val="20"/>
          <w:szCs w:val="20"/>
          <w:color w:val="auto"/>
        </w:rPr>
      </w:pPr>
    </w:p>
    <w:p>
      <w:pPr>
        <w:ind w:left="120" w:right="160" w:hanging="4"/>
        <w:spacing w:after="0" w:line="265" w:lineRule="auto"/>
        <w:tabs>
          <w:tab w:leader="none" w:pos="37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notice in the event of our termination of Ms. Antonoff’s employment without Cause (as defined in “</w:t>
      </w:r>
      <w:r>
        <w:rPr>
          <w:rFonts w:ascii="Times New Roman" w:cs="Times New Roman" w:eastAsia="Times New Roman" w:hAnsi="Times New Roman"/>
          <w:sz w:val="17"/>
          <w:szCs w:val="17"/>
          <w:i w:val="1"/>
          <w:iCs w:val="1"/>
          <w:color w:val="auto"/>
        </w:rPr>
        <w:t>Potential Payments and Benefits Upon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Termination or Change in Control</w:t>
      </w:r>
      <w:r>
        <w:rPr>
          <w:rFonts w:ascii="Times New Roman" w:cs="Times New Roman" w:eastAsia="Times New Roman" w:hAnsi="Times New Roman"/>
          <w:sz w:val="17"/>
          <w:szCs w:val="17"/>
          <w:color w:val="auto"/>
        </w:rPr>
        <w:t>” below), which excludes terminations due to death or disability and Ms. Antonoff is required to provide us six</w:t>
      </w:r>
    </w:p>
    <w:p>
      <w:pPr>
        <w:ind w:left="120" w:right="100" w:hanging="4"/>
        <w:spacing w:after="0" w:line="260" w:lineRule="auto"/>
        <w:tabs>
          <w:tab w:leader="none" w:pos="3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notice to terminate his employment voluntarily, although our Board may waive the required notice period to be given by Ms. Antonoff. The agreement provides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Susan Stick Employment Agreement</w:t>
      </w:r>
    </w:p>
    <w:p>
      <w:pPr>
        <w:spacing w:after="0" w:line="11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On July 31, 2023, Ms. Stick entered into an employment agreement with us to serve as General Counsel. Pursuant to this agreement, Ms. Stick was entitled to an annual base salary of $320,000 with a semi-annual performance bonus opportunity for an annual total equal to 30% of her annual base salary. Additionally, she received a one-time signing bonus of $30,000. Ms. Stick is eligible to participate in our employee benefit plans and programs. Ms. Stick was also granted RSU awards in the aggregate amount of $1.5 million. The RSUs will vest over four years, with one-fourth vesting on the first anniversary of the vesting commencement date, and the remaining RSUs vesting in equal monthly installments thereafter, contingent upon her continuous employment at the Company through each such vesting date. Ms. Stick’s employment is “at-will.” The agreement provides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David Rice Employment Agreement</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2019 Mr. Rice entered into an employment agreement with us to serve as Chief Operating Officer (he has subsequently transitioned to the role of GM, International). Pursuant to this agreement, Mr. Rice was entitled to an initial annual base salary of $350,000, which has been increased from time-to-time. Mr. Rice is eligible to participate in our employee benefit plans and programs. Mr. Rice’s employment is “at-will,” provided that we are required to give Mr. Rice at least six (6) months’ notice in the event of our termination of Mr. Rice’s employment without Cause (as defined therein), which excludes terminations due to death or disability and Mr. Burke is required to provide our Board six (6) months’ notice to terminate his employment voluntarily, although our Board may waive the required notice period to be given by Mr. Rice. The agreement provides for severance benefits as described in “</w:t>
      </w:r>
      <w:r>
        <w:rPr>
          <w:rFonts w:ascii="Times New Roman" w:cs="Times New Roman" w:eastAsia="Times New Roman" w:hAnsi="Times New Roman"/>
          <w:sz w:val="18"/>
          <w:szCs w:val="18"/>
          <w:i w:val="1"/>
          <w:iCs w:val="1"/>
          <w:color w:val="auto"/>
        </w:rPr>
        <w:t>Potential Payments and Benefits Upon Termination or Change in Control</w:t>
      </w:r>
      <w:r>
        <w:rPr>
          <w:rFonts w:ascii="Times New Roman" w:cs="Times New Roman" w:eastAsia="Times New Roman" w:hAnsi="Times New Roman"/>
          <w:sz w:val="18"/>
          <w:szCs w:val="18"/>
          <w:color w:val="auto"/>
        </w:rPr>
        <w:t>” below.</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David Rice Retention Bonus Agreement</w:t>
      </w:r>
    </w:p>
    <w:p>
      <w:pPr>
        <w:spacing w:after="0" w:line="11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In May 2016, we entered into a retention bonus agreement with Mr. Rice, providing that Mr. Rice will receive a cash bonus of $100,000 subject to his continued employment with us through December 31, 2022. We paid Mr. Rice this retention bonus in January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David Rice Expatriate Employment Agreement</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entered into an expatriate employment agreement dated March 10, 2023 with Mr. Rice (the “UK Agreement”) that supersedes his employment agreement for the duration of his UK assignment. Pursuant to the UK Agreement, Mr. Rice was entitled to an initial annual base salary of $380,000 per year, which may be increased depending on merit, and an annual target bonus opportunity of 40% of his annual base salary. The UK Agreement also provides $100 as a monthly remote work stipend, $679.61 as a monthly health allowance, and $6,024 (after tax) as a monthly housing allowance. Amounts are converted from US dollars to Pound sterling based on a semi-annual assessment of the conversion rate. The agreement also provides tax equalization provisions such that Mr. Rice’s income tax withholding obligations are the same as if he remained in the US and his income tax obligations will be grossed-up in connection with any tax liability occurred for non-deductible company paid relocation expenses, company-paid home leave or emergency travel expenses, company-paid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health insurance premiums for coverage in Europe, home management fees and home owner’s insurance premiums, income tax preparation, and host housing assistance. The Company engages Oyster HR as a professional employer organization to satisfy legal requirements related to Mr. Rice’s expatriate service. If Mr. Rice voluntarily resigns from his position within 13 to 18 months, he must repay the Company 50% of his relocation, immigration, and tax related expenses. In event of his termination for cause, benefits under the UK Agreement shall be terminated; all other severance benefits are governed by the terms of his U.S. employment agreement and as described in “</w:t>
      </w:r>
      <w:r>
        <w:rPr>
          <w:rFonts w:ascii="Times New Roman" w:cs="Times New Roman" w:eastAsia="Times New Roman" w:hAnsi="Times New Roman"/>
          <w:sz w:val="18"/>
          <w:szCs w:val="18"/>
          <w:i w:val="1"/>
          <w:iCs w:val="1"/>
          <w:color w:val="auto"/>
        </w:rPr>
        <w:t>Potential Payments and Benefits Upon Termination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UTSTANDING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4"/>
          <w:szCs w:val="14"/>
          <w:b w:val="1"/>
          <w:bCs w:val="1"/>
          <w:color w:val="auto"/>
        </w:rPr>
        <w:t>EAR</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ND</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regarding outstanding equity awards at fiscal year-end for the Named Executive Officers.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2023 (1)</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1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92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80" w:type="dxa"/>
            <w:vAlign w:val="bottom"/>
          </w:tcPr>
          <w:p>
            <w:pPr>
              <w:spacing w:after="0"/>
              <w:rPr>
                <w:sz w:val="12"/>
                <w:szCs w:val="12"/>
                <w:color w:val="auto"/>
              </w:rPr>
            </w:pPr>
          </w:p>
        </w:tc>
        <w:tc>
          <w:tcPr>
            <w:tcW w:w="1020" w:type="dxa"/>
            <w:vAlign w:val="bottom"/>
            <w:gridSpan w:val="2"/>
          </w:tcPr>
          <w:p>
            <w:pPr>
              <w:jc w:val="center"/>
              <w:ind w:left="131"/>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114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8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w w:val="99"/>
              </w:rPr>
              <w:t xml:space="preserve">price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w:t>
            </w: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1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vested (#)</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 Hulls</w:t>
            </w:r>
          </w:p>
        </w:tc>
        <w:tc>
          <w:tcPr>
            <w:tcW w:w="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10/24/2017</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208,987</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133"/>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2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10/24/2027</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7/16/2018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1,269,386</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2.53</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7/16/2028</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10/30/2018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9.55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10/30/2028</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7/30/2020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210,833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19,167</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7.28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7/30/2030</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29,167</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2/1/2027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14,584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225,469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5/20/2022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(6)</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135,108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146,857</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8.19</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5/20/2028</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36,053</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557,379</w:t>
            </w: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Russell Burke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5/19/2020</w:t>
            </w:r>
          </w:p>
        </w:tc>
        <w:tc>
          <w:tcPr>
            <w:tcW w:w="20" w:type="dxa"/>
            <w:vAlign w:val="bottom"/>
          </w:tcPr>
          <w:p>
            <w:pPr>
              <w:spacing w:after="0"/>
              <w:rPr>
                <w:sz w:val="17"/>
                <w:szCs w:val="17"/>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gridSpan w:val="3"/>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475,248</w:t>
            </w:r>
          </w:p>
        </w:tc>
        <w:tc>
          <w:tcPr>
            <w:tcW w:w="11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55,266</w:t>
            </w:r>
          </w:p>
        </w:tc>
        <w:tc>
          <w:tcPr>
            <w:tcW w:w="82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rPr>
              <w:t>3.58</w:t>
            </w:r>
          </w:p>
        </w:tc>
        <w:tc>
          <w:tcPr>
            <w:tcW w:w="11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5/19/2028</w:t>
            </w:r>
          </w:p>
        </w:tc>
        <w:tc>
          <w:tcPr>
            <w:tcW w:w="1120" w:type="dxa"/>
            <w:vAlign w:val="bottom"/>
            <w:gridSpan w:val="2"/>
          </w:tcPr>
          <w:p>
            <w:pPr>
              <w:ind w:left="5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2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3/15/2022</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(8)</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51,079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65,675</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10.49</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3/15/2028</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16,391</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253,405</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2/9/2023</w:t>
            </w: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(9)</w:t>
            </w:r>
          </w:p>
        </w:tc>
        <w:tc>
          <w:tcPr>
            <w:tcW w:w="220" w:type="dxa"/>
            <w:vAlign w:val="bottom"/>
          </w:tcPr>
          <w:p>
            <w:pPr>
              <w:spacing w:after="0"/>
              <w:rPr>
                <w:sz w:val="20"/>
                <w:szCs w:val="20"/>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96,035</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1,484,701</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9/20/2016</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0.18</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9/20/2026</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10/24/2017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125,392</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2.15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10/24/2027</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10/30/2018</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9.55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10/30/2028</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(13)</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112,500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4.35</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4/7/2030</w:t>
            </w: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(14)</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70,833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29,167</w:t>
            </w:r>
          </w:p>
        </w:tc>
        <w:tc>
          <w:tcPr>
            <w:tcW w:w="82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8.89</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2/2/2027</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14,584</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225,469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3/15/2022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51,079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65,675</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10.49</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3/15/2028</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16,391</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253,405</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2/9/2023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28,718</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443,981</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5/18/2023</w:t>
            </w:r>
          </w:p>
        </w:tc>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3"/>
                <w:szCs w:val="13"/>
                <w:color w:val="auto"/>
              </w:rPr>
              <w:t>(17)</w:t>
            </w:r>
          </w:p>
        </w:tc>
        <w:tc>
          <w:tcPr>
            <w:tcW w:w="220" w:type="dxa"/>
            <w:vAlign w:val="bottom"/>
          </w:tcPr>
          <w:p>
            <w:pPr>
              <w:spacing w:after="0"/>
              <w:rPr>
                <w:sz w:val="18"/>
                <w:szCs w:val="18"/>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349,957</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5,410,335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Stick</w:t>
            </w:r>
          </w:p>
        </w:tc>
        <w:tc>
          <w:tcPr>
            <w:tcW w:w="9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8/11/2023</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81"/>
              </w:rPr>
              <w:t>— </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99,076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1,531,715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2"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option awards and stock awards were granted under the Stock Plan, the terms of which plan is described below under “</w:t>
      </w:r>
      <w:r>
        <w:rPr>
          <w:rFonts w:ascii="Times New Roman" w:cs="Times New Roman" w:eastAsia="Times New Roman" w:hAnsi="Times New Roman"/>
          <w:sz w:val="18"/>
          <w:szCs w:val="18"/>
          <w:i w:val="1"/>
          <w:iCs w:val="1"/>
          <w:color w:val="auto"/>
        </w:rPr>
        <w:t>Equity Plans</w:t>
      </w:r>
      <w:r>
        <w:rPr>
          <w:rFonts w:ascii="Times New Roman" w:cs="Times New Roman" w:eastAsia="Times New Roman" w:hAnsi="Times New Roman"/>
          <w:sz w:val="18"/>
          <w:szCs w:val="18"/>
          <w:color w:val="auto"/>
        </w:rPr>
        <w:t>.”</w:t>
      </w:r>
    </w:p>
    <w:p>
      <w:pPr>
        <w:spacing w:after="0" w:line="2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are based on the closing price of our CDIs on the Australian Securities Exchange on December 31, 2023 (AUD$7.56), multiplied by the number of CDIs representing beneficial ownership in one share of Common Stock (3), multiplied by the AUD:USD conversion rate as in effect on December 31, 2023, as reported by Wall Street Journal (0.68).</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stock options that were entirely vested as of December 31, 2023.</w:t>
      </w:r>
    </w:p>
    <w:p>
      <w:pPr>
        <w:spacing w:after="0" w:line="9" w:lineRule="exact"/>
        <w:rPr>
          <w:rFonts w:ascii="Times New Roman" w:cs="Times New Roman" w:eastAsia="Times New Roman" w:hAnsi="Times New Roman"/>
          <w:sz w:val="18"/>
          <w:szCs w:val="18"/>
          <w:color w:val="auto"/>
        </w:rPr>
      </w:pPr>
    </w:p>
    <w:p>
      <w:pPr>
        <w:ind w:left="540" w:right="64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230,000 stock options that each vest in equal monthly installments over four years from July 30, 2020, subject to the holder’s continued service on each vesting date.</w:t>
      </w:r>
    </w:p>
    <w:p>
      <w:pPr>
        <w:ind w:left="540" w:right="8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100,000 stock options and 50,000 RSUs that each vest in equal monthly installments over four years from February 1, 2021, subject to the holder’s continued service on each vesting date.</w:t>
      </w:r>
    </w:p>
    <w:p>
      <w:pPr>
        <w:ind w:left="540" w:right="160" w:hanging="424"/>
        <w:spacing w:after="0" w:line="26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281,965 stock options and 69,220 RSUs that each vest in equal monthly installments over four years from January 1, 2022, subject to the holder’s continued service on each vesting date.</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right="360" w:hanging="424"/>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530,514 stock options that vest in equal monthly installments over four years from May 19, 2020, subject to the holder’s continued service on each vesting date.</w:t>
      </w:r>
    </w:p>
    <w:p>
      <w:pPr>
        <w:ind w:left="540" w:right="26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116,754 stock options and 29,138 RSUs that each vest in equal monthly installments over four years from March 1, 2022, subject to the holder’s continued service on each vesting date.</w:t>
      </w:r>
    </w:p>
    <w:p>
      <w:pPr>
        <w:ind w:left="540" w:right="32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138,297 RSUs that each vest in equal monthly installments over three years from January 1, 2023, subject to the holder’s continued service on each vesting date.</w:t>
      </w:r>
    </w:p>
    <w:p>
      <w:pPr>
        <w:ind w:left="540" w:right="46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120,000 stock options that each vest in monthly installments over four years from April 7, 2020, subject to the holder’s continued service on each vesting date.</w:t>
      </w:r>
    </w:p>
    <w:p>
      <w:pPr>
        <w:ind w:left="540" w:right="14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100,000 stock options and 50,000 RSUs that vest in monthly installments over four years from February 1, 2021, subject to the holder’s continued service on each vesting date.</w:t>
      </w:r>
    </w:p>
    <w:p>
      <w:pPr>
        <w:ind w:left="540" w:right="26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29,138 RSUs and 116,754 stock options that each vest in equal monthly installments over four years from March 1, 2022, each being subject to the holder’s continues service on each vesting date.</w:t>
      </w:r>
    </w:p>
    <w:p>
      <w:pPr>
        <w:ind w:left="540" w:right="40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41,357 RSUs that each vest in equal monthly installments over three years from January 1, 2023, subject to the holder’s continued service on each vesting date.</w:t>
      </w:r>
    </w:p>
    <w:p>
      <w:pPr>
        <w:ind w:left="540" w:right="54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349,957 RSUs that each vest in equal monthly installments over three years from May 2, 2023, subject to the holder’s continued service on each vesting date.</w:t>
      </w:r>
    </w:p>
    <w:p>
      <w:pPr>
        <w:ind w:left="540" w:right="640" w:hanging="424"/>
        <w:spacing w:after="0" w:line="26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grant of 99,076 RSUs that each vest in equal monthly installments over four years from July 31, 2023, subject to the holder’s continued service on each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ASED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w:t>
      </w:r>
    </w:p>
    <w:p>
      <w:pPr>
        <w:spacing w:after="0" w:line="121"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regarding grants of plan-based awards to the Named Executive Officers: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RANTS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ASED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 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2023</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w:t>
            </w: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7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20" w:type="dxa"/>
            <w:vAlign w:val="bottom"/>
            <w:gridSpan w:val="2"/>
            <w:vMerge w:val="continue"/>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Base</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Payouts</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Price of</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6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5"/>
          </w:tcPr>
          <w:p>
            <w:pPr>
              <w:jc w:val="center"/>
              <w:ind w:left="442"/>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8"/>
        </w:trPr>
        <w:tc>
          <w:tcPr>
            <w:tcW w:w="2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gridSpan w:val="2"/>
            <w:vMerge w:val="continue"/>
          </w:tcPr>
          <w:p>
            <w:pPr>
              <w:spacing w:after="0"/>
              <w:rPr>
                <w:sz w:val="12"/>
                <w:szCs w:val="12"/>
                <w:color w:val="auto"/>
              </w:rPr>
            </w:pPr>
          </w:p>
        </w:tc>
        <w:tc>
          <w:tcPr>
            <w:tcW w:w="224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640" w:type="dxa"/>
            <w:vAlign w:val="bottom"/>
          </w:tcPr>
          <w:p>
            <w:pPr>
              <w:spacing w:after="0"/>
              <w:rPr>
                <w:sz w:val="12"/>
                <w:szCs w:val="12"/>
                <w:color w:val="auto"/>
              </w:rPr>
            </w:pPr>
          </w:p>
        </w:tc>
        <w:tc>
          <w:tcPr>
            <w:tcW w:w="9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67"/>
        </w:trPr>
        <w:tc>
          <w:tcPr>
            <w:tcW w:w="2520" w:type="dxa"/>
            <w:vAlign w:val="bottom"/>
            <w:gridSpan w:val="2"/>
            <w:vMerge w:val="continue"/>
          </w:tcPr>
          <w:p>
            <w:pPr>
              <w:spacing w:after="0"/>
              <w:rPr>
                <w:sz w:val="14"/>
                <w:szCs w:val="14"/>
                <w:color w:val="auto"/>
              </w:rPr>
            </w:pPr>
          </w:p>
        </w:tc>
        <w:tc>
          <w:tcPr>
            <w:tcW w:w="90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20" w:type="dxa"/>
            <w:vAlign w:val="bottom"/>
          </w:tcPr>
          <w:p>
            <w:pPr>
              <w:spacing w:after="0"/>
              <w:rPr>
                <w:sz w:val="14"/>
                <w:szCs w:val="14"/>
                <w:color w:val="auto"/>
              </w:rPr>
            </w:pPr>
          </w:p>
        </w:tc>
        <w:tc>
          <w:tcPr>
            <w:tcW w:w="78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Awards</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520" w:type="dxa"/>
            <w:vAlign w:val="bottom"/>
          </w:tcPr>
          <w:p>
            <w:pPr>
              <w:spacing w:after="0"/>
              <w:rPr>
                <w:sz w:val="14"/>
                <w:szCs w:val="14"/>
                <w:color w:val="auto"/>
              </w:rPr>
            </w:pPr>
          </w:p>
        </w:tc>
        <w:tc>
          <w:tcPr>
            <w:tcW w:w="740" w:type="dxa"/>
            <w:vAlign w:val="bottom"/>
            <w:gridSpan w:val="2"/>
          </w:tcPr>
          <w:p>
            <w:pPr>
              <w:jc w:val="center"/>
              <w:ind w:left="101"/>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4"/>
                <w:szCs w:val="14"/>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4"/>
                <w:szCs w:val="14"/>
                <w:color w:val="auto"/>
              </w:rPr>
            </w:pPr>
          </w:p>
        </w:tc>
        <w:tc>
          <w:tcPr>
            <w:tcW w:w="72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($/Sh)</w:t>
            </w: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60" w:type="dxa"/>
            <w:vAlign w:val="bottom"/>
            <w:tcBorders>
              <w:top w:val="single" w:sz="8" w:color="auto"/>
            </w:tcBorders>
          </w:tcPr>
          <w:p>
            <w:pPr>
              <w:spacing w:after="0"/>
              <w:rPr>
                <w:sz w:val="10"/>
                <w:szCs w:val="10"/>
                <w:color w:val="auto"/>
              </w:rPr>
            </w:pPr>
          </w:p>
        </w:tc>
        <w:tc>
          <w:tcPr>
            <w:tcW w:w="216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2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660" w:type="dxa"/>
            <w:vAlign w:val="bottom"/>
            <w:tcBorders>
              <w:top w:val="single" w:sz="8" w:color="auto"/>
            </w:tcBorders>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4"/>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Target   Maximum</w:t>
            </w:r>
          </w:p>
        </w:tc>
        <w:tc>
          <w:tcPr>
            <w:tcW w:w="1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6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 Hulls</w:t>
            </w:r>
          </w:p>
        </w:tc>
        <w:tc>
          <w:tcPr>
            <w:tcW w:w="90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top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Russell Burke</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2/9/2023</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Pr>
          <w:p>
            <w:pPr>
              <w:spacing w:after="0"/>
              <w:rPr>
                <w:sz w:val="17"/>
                <w:szCs w:val="17"/>
                <w:color w:val="auto"/>
              </w:rPr>
            </w:pP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138,297</w:t>
            </w:r>
          </w:p>
        </w:tc>
        <w:tc>
          <w:tcPr>
            <w:tcW w:w="20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1,660,947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 Antonoff</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5/18/2023</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349,957</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4,846,904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Susan Stick</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8/11/2023</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Pr>
          <w:p>
            <w:pPr>
              <w:spacing w:after="0"/>
              <w:rPr>
                <w:sz w:val="17"/>
                <w:szCs w:val="17"/>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tcPr>
          <w:p>
            <w:pPr>
              <w:spacing w:after="0"/>
              <w:rPr>
                <w:sz w:val="17"/>
                <w:szCs w:val="17"/>
                <w:color w:val="auto"/>
              </w:rPr>
            </w:pPr>
          </w:p>
        </w:tc>
        <w:tc>
          <w:tcPr>
            <w:tcW w:w="74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99,076</w:t>
            </w:r>
          </w:p>
        </w:tc>
        <w:tc>
          <w:tcPr>
            <w:tcW w:w="200" w:type="dxa"/>
            <w:vAlign w:val="bottom"/>
          </w:tcPr>
          <w:p>
            <w:pPr>
              <w:spacing w:after="0"/>
              <w:rPr>
                <w:sz w:val="17"/>
                <w:szCs w:val="17"/>
                <w:color w:val="auto"/>
              </w:rPr>
            </w:pPr>
          </w:p>
        </w:tc>
        <w:tc>
          <w:tcPr>
            <w:tcW w:w="88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1,503,974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Rice</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2/9/2023</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— </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1"/>
              </w:rPr>
              <w:t>— </w:t>
            </w:r>
          </w:p>
        </w:tc>
        <w:tc>
          <w:tcPr>
            <w:tcW w:w="1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w w:val="99"/>
              </w:rPr>
              <w:t>— </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41,357</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— </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ESTED</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2023, certain information regarding option exercises and stock vested during the last fiscal year with respect to the Named Executive Officers: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ESTED IN</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ISCAL</w:t>
      </w:r>
      <w:r>
        <w:rPr>
          <w:rFonts w:ascii="Times New Roman" w:cs="Times New Roman" w:eastAsia="Times New Roman" w:hAnsi="Times New Roman"/>
          <w:sz w:val="18"/>
          <w:szCs w:val="18"/>
          <w:b w:val="1"/>
          <w:bCs w:val="1"/>
          <w:color w:val="auto"/>
        </w:rPr>
        <w:t xml:space="preserve"> 2023</w:t>
      </w:r>
    </w:p>
    <w:p>
      <w:pPr>
        <w:spacing w:after="0" w:line="250"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19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60" w:type="dxa"/>
            <w:vAlign w:val="bottom"/>
          </w:tcPr>
          <w:p>
            <w:pPr>
              <w:spacing w:after="0"/>
              <w:rPr>
                <w:sz w:val="15"/>
                <w:szCs w:val="15"/>
                <w:color w:val="auto"/>
              </w:rPr>
            </w:pPr>
          </w:p>
        </w:tc>
        <w:tc>
          <w:tcPr>
            <w:tcW w:w="206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12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4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180" w:type="dxa"/>
            <w:vAlign w:val="bottom"/>
            <w:gridSpan w:val="2"/>
            <w:vMerge w:val="continue"/>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9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60"/>
        </w:trPr>
        <w:tc>
          <w:tcPr>
            <w:tcW w:w="5620" w:type="dxa"/>
            <w:vAlign w:val="bottom"/>
            <w:gridSpan w:val="2"/>
            <w:vMerge w:val="continue"/>
          </w:tcPr>
          <w:p>
            <w:pPr>
              <w:spacing w:after="0"/>
              <w:rPr>
                <w:sz w:val="13"/>
                <w:szCs w:val="13"/>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6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3"/>
                <w:szCs w:val="13"/>
                <w:color w:val="auto"/>
              </w:rPr>
            </w:pPr>
          </w:p>
        </w:tc>
        <w:tc>
          <w:tcPr>
            <w:tcW w:w="92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 Hulls</w:t>
            </w:r>
          </w:p>
        </w:tc>
        <w:tc>
          <w:tcPr>
            <w:tcW w:w="760" w:type="dxa"/>
            <w:vAlign w:val="bottom"/>
            <w:shd w:val="clear" w:color="auto" w:fill="CCEEFF"/>
          </w:tcPr>
          <w:p>
            <w:pPr>
              <w:ind w:left="5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18,041</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243,943.15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10,000</w:t>
            </w: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63,700</w:t>
            </w: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27,826</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392,008.30</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Antonoff</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Stick</w:t>
            </w:r>
          </w:p>
        </w:tc>
        <w:tc>
          <w:tcPr>
            <w:tcW w:w="12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12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20,242</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278,735.88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2" w:lineRule="exact"/>
        <w:rPr>
          <w:sz w:val="20"/>
          <w:szCs w:val="20"/>
          <w:color w:val="auto"/>
        </w:rPr>
      </w:pPr>
    </w:p>
    <w:p>
      <w:pPr>
        <w:ind w:left="540" w:right="360" w:hanging="424"/>
        <w:spacing w:after="0" w:line="258"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as the “</w:t>
      </w:r>
      <w:r>
        <w:rPr>
          <w:rFonts w:ascii="Times New Roman" w:cs="Times New Roman" w:eastAsia="Times New Roman" w:hAnsi="Times New Roman"/>
          <w:sz w:val="18"/>
          <w:szCs w:val="18"/>
          <w:i w:val="1"/>
          <w:iCs w:val="1"/>
          <w:color w:val="auto"/>
        </w:rPr>
        <w:t>Value Realized on Exercise</w:t>
      </w:r>
      <w:r>
        <w:rPr>
          <w:rFonts w:ascii="Times New Roman" w:cs="Times New Roman" w:eastAsia="Times New Roman" w:hAnsi="Times New Roman"/>
          <w:sz w:val="18"/>
          <w:szCs w:val="18"/>
          <w:color w:val="auto"/>
        </w:rPr>
        <w:t>” (if any) are determined by multiplying (i) the number of shares of common stock to which the exercise of the option is related by (ii) the difference between the per-share price of the common stock on the exercise date and the exercise price of the options.</w:t>
      </w:r>
    </w:p>
    <w:p>
      <w:pPr>
        <w:ind w:left="540" w:right="320" w:hanging="424"/>
        <w:spacing w:after="0" w:line="260"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as the “</w:t>
      </w:r>
      <w:r>
        <w:rPr>
          <w:rFonts w:ascii="Times New Roman" w:cs="Times New Roman" w:eastAsia="Times New Roman" w:hAnsi="Times New Roman"/>
          <w:sz w:val="18"/>
          <w:szCs w:val="18"/>
          <w:i w:val="1"/>
          <w:iCs w:val="1"/>
          <w:color w:val="auto"/>
        </w:rPr>
        <w:t>Value Realized on Vesting</w:t>
      </w:r>
      <w:r>
        <w:rPr>
          <w:rFonts w:ascii="Times New Roman" w:cs="Times New Roman" w:eastAsia="Times New Roman" w:hAnsi="Times New Roman"/>
          <w:sz w:val="18"/>
          <w:szCs w:val="18"/>
          <w:color w:val="auto"/>
        </w:rPr>
        <w:t>” (if any) are determined by multiplying (i) the number of shares of common stock that vested by (ii) the per-share price of the common stock on the vesting date.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OTENTIAL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AYMENTS AND</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4"/>
          <w:szCs w:val="14"/>
          <w:b w:val="1"/>
          <w:bCs w:val="1"/>
          <w:color w:val="auto"/>
        </w:rPr>
        <w:t>ENEFITS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4"/>
          <w:szCs w:val="14"/>
          <w:b w:val="1"/>
          <w:bCs w:val="1"/>
          <w:color w:val="auto"/>
        </w:rPr>
        <w:t>PON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ONTROL</w:t>
      </w:r>
    </w:p>
    <w:p>
      <w:pPr>
        <w:spacing w:after="0" w:line="121"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table below sets forth the amount of compensation and benefits payable under the Company’s 2023 Severance and Change in Control Plan (the “Severance Plan”) to each participant upon (i) the participant’s termination of employment without Cause (as such term is defined in the Severance Plan) and (ii) the participant’s Enhanced Termination (as defined below).</w:t>
      </w:r>
    </w:p>
    <w:p>
      <w:pPr>
        <w:spacing w:after="0" w:line="176"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amounts shown in the table below assume that such termination of employment was effective as of December 31, 2023, and thus are estimates of the amounts that would be paid out to the participant in such circumstances.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Base</w:t>
            </w:r>
          </w:p>
        </w:tc>
        <w:tc>
          <w:tcPr>
            <w:tcW w:w="11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COBRA($)</w:t>
            </w:r>
          </w:p>
        </w:tc>
        <w:tc>
          <w:tcPr>
            <w:tcW w:w="16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Accelerated Vesting</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52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25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400" w:type="dxa"/>
            <w:vAlign w:val="bottom"/>
            <w:vMerge w:val="restart"/>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140" w:type="dxa"/>
            <w:vAlign w:val="bottom"/>
            <w:gridSpan w:val="2"/>
            <w:vMerge w:val="continue"/>
          </w:tcPr>
          <w:p>
            <w:pPr>
              <w:spacing w:after="0"/>
              <w:rPr>
                <w:sz w:val="12"/>
                <w:szCs w:val="12"/>
                <w:color w:val="auto"/>
              </w:rPr>
            </w:pPr>
          </w:p>
        </w:tc>
        <w:tc>
          <w:tcPr>
            <w:tcW w:w="16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7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2520" w:type="dxa"/>
            <w:vAlign w:val="bottom"/>
            <w:tcBorders>
              <w:bottom w:val="single" w:sz="8" w:color="CCEEFF"/>
            </w:tcBorders>
            <w:vMerge w:val="continue"/>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4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ind w:right="361"/>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4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Rice</w:t>
            </w:r>
          </w:p>
        </w:tc>
        <w:tc>
          <w:tcPr>
            <w:tcW w:w="40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88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Enhanced Termination</w:t>
            </w:r>
          </w:p>
        </w:tc>
        <w:tc>
          <w:tcPr>
            <w:tcW w:w="112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190,000</w:t>
            </w:r>
          </w:p>
        </w:tc>
        <w:tc>
          <w:tcPr>
            <w:tcW w:w="114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2,504,481</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2,694,481</w:t>
            </w:r>
          </w:p>
        </w:tc>
        <w:tc>
          <w:tcPr>
            <w:tcW w:w="0" w:type="dxa"/>
            <w:vAlign w:val="bottom"/>
          </w:tcPr>
          <w:p>
            <w:pPr>
              <w:spacing w:after="0"/>
              <w:rPr>
                <w:sz w:val="1"/>
                <w:szCs w:val="1"/>
                <w:color w:val="auto"/>
              </w:rPr>
            </w:pPr>
          </w:p>
        </w:tc>
      </w:tr>
      <w:tr>
        <w:trPr>
          <w:trHeight w:val="121"/>
        </w:trPr>
        <w:tc>
          <w:tcPr>
            <w:tcW w:w="360" w:type="dxa"/>
            <w:vAlign w:val="bottom"/>
            <w:shd w:val="clear" w:color="auto" w:fill="CCEEFF"/>
          </w:tcPr>
          <w:p>
            <w:pPr>
              <w:spacing w:after="0"/>
              <w:rPr>
                <w:sz w:val="10"/>
                <w:szCs w:val="10"/>
                <w:color w:val="auto"/>
              </w:rPr>
            </w:pPr>
          </w:p>
        </w:tc>
        <w:tc>
          <w:tcPr>
            <w:tcW w:w="2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960" w:type="dxa"/>
            <w:vAlign w:val="bottom"/>
            <w:gridSpan w:val="2"/>
            <w:vMerge w:val="continue"/>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168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his 2019 Employment Agreement, Mr. Rice’s employment is “at-will,” provided that the Company is required to give Mr. Rice at least six</w:t>
      </w:r>
    </w:p>
    <w:p>
      <w:pPr>
        <w:spacing w:after="0" w:line="27" w:lineRule="exact"/>
        <w:rPr>
          <w:sz w:val="20"/>
          <w:szCs w:val="20"/>
          <w:color w:val="auto"/>
        </w:rPr>
      </w:pPr>
    </w:p>
    <w:p>
      <w:pPr>
        <w:ind w:left="120" w:right="60" w:hanging="4"/>
        <w:spacing w:after="0" w:line="253" w:lineRule="auto"/>
        <w:tabs>
          <w:tab w:leader="none" w:pos="37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notice in the event of its termination of Mr. Rice’s employment without Cause (as defined below), which excludes terminations due to death or disability and Mr. Rice is required to provide the Board six (6) months’ notice to terminate his employment voluntarily, although the Board may waive the required notice period to be given by Mr. Rice. Any notice pay to be received by Mr. Rice in the event of a termination without Cause may be offset by severance benefits he is eligible to receive under the Plan.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of December 31, 2023, Chris Hulls was not a participant in the Severance Plan and was thus at that time eligible to receive only certain termination-related benefits as set out in his employment agreement. Under his May 14, 2019, Employment Agreement, Mr. Hulls’ employment is “at-will,” provided that the Company is required to give Mr. Hulls at least six (6) months’ notice in the event of its termination of Mr. Hulls’ employment without Cause (as defined below), which excludes terminations due to death or disability and Mr. Hulls is required to provide the Board six (6) months’ notice to terminate his employment voluntarily, although the Board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66" w:lineRule="auto"/>
        <w:rPr>
          <w:sz w:val="20"/>
          <w:szCs w:val="20"/>
          <w:color w:val="auto"/>
        </w:rPr>
      </w:pPr>
      <w:r>
        <w:rPr>
          <w:rFonts w:ascii="Times New Roman" w:cs="Times New Roman" w:eastAsia="Times New Roman" w:hAnsi="Times New Roman"/>
          <w:sz w:val="18"/>
          <w:szCs w:val="18"/>
          <w:color w:val="auto"/>
        </w:rPr>
        <w:t>may waive the required notice period to be given by Mr. Hulls. Hulls became a participant in the Severance Plan on March 15, 2024, and is thus presently eligible to receive the following benefits under the Plan upon (i) his termination of employment without Cause and (ii) his Enhanced Termination: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8"/>
              </w:rPr>
              <w:t>COBRA($)</w:t>
            </w:r>
          </w:p>
        </w:tc>
        <w:tc>
          <w:tcPr>
            <w:tcW w:w="1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Accelerated Vesting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6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2620" w:type="dxa"/>
            <w:vAlign w:val="bottom"/>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300" w:type="dxa"/>
            <w:vAlign w:val="bottom"/>
            <w:vMerge w:val="restart"/>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7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7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2760" w:type="dxa"/>
            <w:vAlign w:val="bottom"/>
            <w:tcBorders>
              <w:bottom w:val="single" w:sz="8" w:color="CCEEFF"/>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3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3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41"/>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 Hulls</w:t>
            </w:r>
          </w:p>
        </w:tc>
        <w:tc>
          <w:tcPr>
            <w:tcW w:w="3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500,000</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120" w:type="dxa"/>
            <w:vAlign w:val="bottom"/>
            <w:gridSpan w:val="2"/>
            <w:vMerge w:val="continue"/>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9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Enhanced Termination</w:t>
            </w:r>
          </w:p>
        </w:tc>
        <w:tc>
          <w:tcPr>
            <w:tcW w:w="102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500,000</w:t>
            </w:r>
          </w:p>
        </w:tc>
        <w:tc>
          <w:tcPr>
            <w:tcW w:w="10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35,391</w:t>
            </w:r>
          </w:p>
        </w:tc>
        <w:tc>
          <w:tcPr>
            <w:tcW w:w="176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3,799,621</w:t>
            </w:r>
          </w:p>
        </w:tc>
        <w:tc>
          <w:tcPr>
            <w:tcW w:w="8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4,335,012</w:t>
            </w:r>
          </w:p>
        </w:tc>
        <w:tc>
          <w:tcPr>
            <w:tcW w:w="0" w:type="dxa"/>
            <w:vAlign w:val="bottom"/>
          </w:tcPr>
          <w:p>
            <w:pPr>
              <w:spacing w:after="0"/>
              <w:rPr>
                <w:sz w:val="1"/>
                <w:szCs w:val="1"/>
                <w:color w:val="auto"/>
              </w:rPr>
            </w:pPr>
          </w:p>
        </w:tc>
      </w:tr>
      <w:tr>
        <w:trPr>
          <w:trHeight w:val="122"/>
        </w:trPr>
        <w:tc>
          <w:tcPr>
            <w:tcW w:w="36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920" w:type="dxa"/>
            <w:vAlign w:val="bottom"/>
            <w:gridSpan w:val="2"/>
            <w:vMerge w:val="continue"/>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760" w:type="dxa"/>
            <w:vAlign w:val="bottom"/>
            <w:gridSpan w:val="2"/>
            <w:vMerge w:val="continue"/>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As of December 31, 2023, Russell Burke was not a participant in the Severance Plan and was thus at that time eligible to receive only certain termination-related benefits as set out in his employment agreement. Under his May 11, 2020 Employment Agreement, Ms. Burke’s employment is “at-will,” provided that the Company is required to give Mr. Burke six (6) months’ notice in the event of its termination of Mr. Burke’s employment without Cause, which excludes terminations due to death or disability, and Mr. Burke is required to provide the Board six (6) months’ notice to terminate his employment voluntarily, although the Board may waive the required notice period to be given by Mr. Burke. Mr. Burke became a participant in the Severance Plan on March 22, 2024, and is thus presently eligible to receive the following benefits under the Plan upon (i) his termination of employment without Cause and (ii) his Enhanced Termination. Any notice pay to be received by Mr. Burke in the event of a termination without Cause may be offset by severance benefits he is eligible to receive under the Plan.</w:t>
      </w:r>
    </w:p>
    <w:p>
      <w:pPr>
        <w:spacing w:after="0" w:line="20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Base</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COBRA($)</w:t>
            </w:r>
          </w:p>
        </w:tc>
        <w:tc>
          <w:tcPr>
            <w:tcW w:w="21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Accelerated Vesting of</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7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256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320" w:type="dxa"/>
            <w:vAlign w:val="bottom"/>
            <w:vMerge w:val="restart"/>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7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78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0" w:type="dxa"/>
            <w:vAlign w:val="bottom"/>
            <w:tcBorders>
              <w:bottom w:val="single" w:sz="8" w:color="auto"/>
            </w:tcBorders>
            <w:vMerge w:val="continue"/>
          </w:tcPr>
          <w:p>
            <w:pPr>
              <w:spacing w:after="0"/>
              <w:rPr>
                <w:sz w:val="14"/>
                <w:szCs w:val="14"/>
                <w:color w:val="auto"/>
              </w:rPr>
            </w:pPr>
          </w:p>
        </w:tc>
        <w:tc>
          <w:tcPr>
            <w:tcW w:w="270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CCEEFF"/>
            </w:tcBorders>
            <w:vMerge w:val="continue"/>
          </w:tcPr>
          <w:p>
            <w:pPr>
              <w:spacing w:after="0"/>
              <w:rPr>
                <w:sz w:val="14"/>
                <w:szCs w:val="14"/>
                <w:color w:val="auto"/>
              </w:rPr>
            </w:pPr>
          </w:p>
        </w:tc>
        <w:tc>
          <w:tcPr>
            <w:tcW w:w="64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3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99"/>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3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62"/>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3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Russell Burke</w:t>
            </w:r>
          </w:p>
        </w:tc>
        <w:tc>
          <w:tcPr>
            <w:tcW w:w="3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Termination without Cause</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3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3060" w:type="dxa"/>
            <w:vAlign w:val="bottom"/>
            <w:gridSpan w:val="2"/>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8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Enhanced Termination</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1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3,607,018</w:t>
            </w:r>
          </w:p>
        </w:tc>
        <w:tc>
          <w:tcPr>
            <w:tcW w:w="36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3,820,900</w:t>
            </w: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shd w:val="clear" w:color="auto" w:fill="CCEEFF"/>
          </w:tcPr>
          <w:p>
            <w:pPr>
              <w:spacing w:after="0"/>
              <w:rPr>
                <w:sz w:val="10"/>
                <w:szCs w:val="10"/>
                <w:color w:val="auto"/>
              </w:rPr>
            </w:pPr>
          </w:p>
        </w:tc>
        <w:tc>
          <w:tcPr>
            <w:tcW w:w="27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88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740" w:type="dxa"/>
            <w:vAlign w:val="bottom"/>
            <w:gridSpan w:val="2"/>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0" w:hanging="424"/>
        <w:spacing w:after="0" w:line="257"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without Cause, represents a lump sum cash payment equal to 12 months of base salary for Mr. Hulls and 6 months of base salary for each of Mr. Rice and Mr. Burke. Each of the aforementioned are eligible to receive the same amount of respective base salary severance benefits upon an Enhanced Termination.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without Cause, represents payment of COBRA premiums for 12 months following Mr. Hulls’ termination and six</w:t>
      </w:r>
    </w:p>
    <w:p>
      <w:pPr>
        <w:spacing w:after="0" w:line="9" w:lineRule="exact"/>
        <w:rPr>
          <w:rFonts w:ascii="Times New Roman" w:cs="Times New Roman" w:eastAsia="Times New Roman" w:hAnsi="Times New Roman"/>
          <w:sz w:val="18"/>
          <w:szCs w:val="18"/>
          <w:color w:val="auto"/>
        </w:rPr>
      </w:pPr>
    </w:p>
    <w:p>
      <w:pPr>
        <w:ind w:left="5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months following Ms. Burke’s termination or, in each such case, until (i) the expiration of eligibility for the continuation coverage under COBRA or (ii) the date when Mr. Hulls and Mr. Burke respectively become eligible for equivalent insurance coverage in connection with any new employment. Both Mr. Hulls and Mr. Burke are eligible to receive the same respective amount of COBRA payment benefits upon an Enhanced Termination. Mr. Rice is currently not eligible to receive COBRA continuation coverage due to his international assignment.</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Enhanced Termination only, the vesting and exercisability of each outstanding unvested stock option and other stock award, as applicable, that Mr. Hulls, Mr. Rice and Mr. Burke respectively hold covering Company Common Stock as of the date of their Enhanced Termination (each, an “Equity Award”) that is subject to time-vesting shall be accelerated in full and any reacquisition or repurchase rights held by the Company in respect of Company Common Stock issued pursuant to any time-vesting Equity Award granted to Mr. Hulls, Mr. Rice and</w:t>
      </w:r>
    </w:p>
    <w:p>
      <w:pPr>
        <w:spacing w:after="0" w:line="1" w:lineRule="exact"/>
        <w:rPr>
          <w:rFonts w:ascii="Times New Roman" w:cs="Times New Roman" w:eastAsia="Times New Roman" w:hAnsi="Times New Roman"/>
          <w:sz w:val="18"/>
          <w:szCs w:val="18"/>
          <w:color w:val="auto"/>
        </w:rPr>
      </w:pPr>
    </w:p>
    <w:p>
      <w:pPr>
        <w:ind w:left="54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Burke respectively shall lapse in full. Values are based on the closing price of our CDIs on the ASX on December 31, 2023 (AUD$7.56), multiplied by the number of CDIs that each share of Common Stock may be converted into (3), multiplied by the AUD:USD conversion rate as in effect on December 31, 2023, as reported by Wall Street Journal (0.68), multiplied by the number of shares of Common Stock subject to the Equity Awards.</w:t>
      </w:r>
    </w:p>
    <w:p>
      <w:pPr>
        <w:spacing w:after="0" w:line="189" w:lineRule="exact"/>
        <w:rPr>
          <w:sz w:val="20"/>
          <w:szCs w:val="20"/>
          <w:color w:val="auto"/>
        </w:rPr>
      </w:pPr>
    </w:p>
    <w:p>
      <w:pPr>
        <w:ind w:left="120" w:right="280"/>
        <w:spacing w:after="0" w:line="289" w:lineRule="auto"/>
        <w:rPr>
          <w:sz w:val="20"/>
          <w:szCs w:val="20"/>
          <w:color w:val="auto"/>
        </w:rPr>
      </w:pPr>
      <w:r>
        <w:rPr>
          <w:rFonts w:ascii="Times New Roman" w:cs="Times New Roman" w:eastAsia="Times New Roman" w:hAnsi="Times New Roman"/>
          <w:sz w:val="17"/>
          <w:szCs w:val="17"/>
          <w:color w:val="auto"/>
        </w:rPr>
        <w:t>Receipt of benefits under the Severance Plan is contingent upon the participant executing a general waiver and release and allowing it to become effective in accordance with its terms, in no event more than sixty (60) days following the date of the participant’s Covered Termination (as defined below). Receipt of the above benefits shall cease if the participant willfully breaches any material statutory, common law, or contractual obligation to</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or an affiliate (including, without limitation, the contractual obligations set forth in the participant’s Confidential Information and Inventions Assignment Agreement, or similar or successor agreement, and any other confidentiality, non-disclosure and developments agreement, non-competition, non-solicitation, or similar type agreement between the participant and the Company, as applicable); fails to enter into the terms of the Confidential Information and Inventions Assignment Agreement; or without the prior written approval of the Severance Plan administrator, engages in a Prohibited Action (as defined below). Benefits are also subject to recoupment if the participant engages in a Prohibited Action during the Prohibited Period (which is defined below and corresponds to the number of months such participant is receiving severance benefits) and as otherwise required by any other Company policy or applicable law. Benefits are also subject to reduction in the event the participant is receiving any other severance benefits, pay and benefits provided during a period following written notice of a business closing or mass layoff, pay and benefits in lieu of such notice, or other similar benefits payable to the participant by the Company or an affiliate that become payable in connection with the participant’s termination of employment pursuant to (i) any applicable legal requirement, including, without limitation, the Worker Adjustment and Retraining Notification Act or any other similar state law or (ii) any Company policy or practice providing for the participant to remain on the payroll for a limited period of time after being given notice of the termination of the participant’s employment.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capitalized terms are defined in the Severance Plan, and are summarized as follows:</w:t>
      </w:r>
    </w:p>
    <w:p>
      <w:pPr>
        <w:spacing w:after="0" w:line="131" w:lineRule="exact"/>
        <w:rPr>
          <w:sz w:val="20"/>
          <w:szCs w:val="20"/>
          <w:color w:val="auto"/>
        </w:rPr>
      </w:pPr>
    </w:p>
    <w:p>
      <w:pPr>
        <w:ind w:left="1080" w:right="220" w:hanging="532"/>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Termination” means, (1) the employee’s resignation for Good Reason that results in a Separation from Service (within the meaning of Treasury Regulations Section 1.409A-1(h)) or (2) any Covered Termination that occurs during the period commencing three months prior to and ending 12 months following a change of the majority of the members of the Board.</w:t>
      </w:r>
    </w:p>
    <w:p>
      <w:pPr>
        <w:spacing w:after="0" w:line="81"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Termination” means a termination of employment that is due to a termination by the Company without Cause (and other than as a result of the employee’s death or disability) which results in such employee’s Separation from Service.</w:t>
      </w:r>
    </w:p>
    <w:p>
      <w:pPr>
        <w:spacing w:after="0" w:line="67"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“Prohibited Action” shall occur if the employee: (i) breaches a material provision of their confidentiality agreement and/or any restrictive covenants set forth in his or her employment agreement, or under applicable law; (ii) solicits any of the Company’s then current employees to leave the Company’s employ for any reason; or (iii) induces any of the Company’s then current customers or other third parties to terminate their existing business relationship with the Company.</w:t>
      </w:r>
    </w:p>
    <w:p>
      <w:pPr>
        <w:spacing w:after="0" w:line="85"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“Prohibited Period” shall commence on the date of the employee’s Covered Termination and continue for the number of months corresponding to his or her severance period set forth in such employee’s employment agreement.</w:t>
      </w:r>
    </w:p>
    <w:p>
      <w:pPr>
        <w:spacing w:after="0" w:line="67" w:lineRule="exact"/>
        <w:rPr>
          <w:rFonts w:ascii="Times New Roman" w:cs="Times New Roman" w:eastAsia="Times New Roman" w:hAnsi="Times New Roman"/>
          <w:sz w:val="18"/>
          <w:szCs w:val="18"/>
          <w:color w:val="auto"/>
        </w:rPr>
      </w:pPr>
    </w:p>
    <w:p>
      <w:pPr>
        <w:ind w:left="1080" w:right="540" w:hanging="532"/>
        <w:spacing w:after="0" w:line="261"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a resignation following any of the following events or conditions, without the applicable employee’s express written consent: (i) a material reduction in base salary; (ii) relocation to an office from remote work; (iii) any action or inaction that constitutes a material breach by the Company of the employment agreement; (iv) a material reduction in duties, authority or responsibilities.</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Lauren Antonoff and Susan Stick are not participants in the Severance Plan and are thus entitled to receive the following termination-related benefits as set out in their respective employment agreements. The amounts set forth below assume that such termination of employment was effective as of December 31, 2023, and thus are estimates of the amounts that would be paid out to each individual in such circumstances.</w:t>
      </w:r>
    </w:p>
    <w:p>
      <w:pPr>
        <w:spacing w:after="0" w:line="8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Lauren Antonoff. Under her May 2, 2023, Employment Agreement, Ms. Antonoff’s employment is “at-will,” provided that the Company is</w:t>
      </w:r>
    </w:p>
    <w:p>
      <w:pPr>
        <w:spacing w:after="0" w:line="39" w:lineRule="exact"/>
        <w:rPr>
          <w:sz w:val="20"/>
          <w:szCs w:val="20"/>
          <w:color w:val="auto"/>
        </w:rPr>
      </w:pPr>
    </w:p>
    <w:p>
      <w:pPr>
        <w:ind w:left="1080" w:right="180"/>
        <w:spacing w:after="0" w:line="250" w:lineRule="auto"/>
        <w:rPr>
          <w:sz w:val="20"/>
          <w:szCs w:val="20"/>
          <w:color w:val="auto"/>
        </w:rPr>
      </w:pPr>
      <w:r>
        <w:rPr>
          <w:rFonts w:ascii="Times New Roman" w:cs="Times New Roman" w:eastAsia="Times New Roman" w:hAnsi="Times New Roman"/>
          <w:sz w:val="18"/>
          <w:szCs w:val="18"/>
          <w:color w:val="auto"/>
        </w:rPr>
        <w:t>required to give Ms. Antonoff at least six (6) months’ notice in the event of its termination of Ms. Antonoff’s employment without Cause (as defined below), which excludes terminations due to death or disability and Ms. Antonoff is required to provide the Board six</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(6) months’ notice to terminate her employment voluntarily, although the Board may waive the required notice period to be given by</w:t>
      </w:r>
    </w:p>
    <w:p>
      <w:pPr>
        <w:spacing w:after="0" w:line="9" w:lineRule="exact"/>
        <w:rPr>
          <w:sz w:val="20"/>
          <w:szCs w:val="20"/>
          <w:color w:val="auto"/>
        </w:rPr>
      </w:pPr>
    </w:p>
    <w:p>
      <w:pPr>
        <w:ind w:left="1080" w:right="40"/>
        <w:spacing w:after="0" w:line="260" w:lineRule="auto"/>
        <w:rPr>
          <w:sz w:val="20"/>
          <w:szCs w:val="20"/>
          <w:color w:val="auto"/>
        </w:rPr>
      </w:pPr>
      <w:r>
        <w:rPr>
          <w:rFonts w:ascii="Times New Roman" w:cs="Times New Roman" w:eastAsia="Times New Roman" w:hAnsi="Times New Roman"/>
          <w:sz w:val="18"/>
          <w:szCs w:val="18"/>
          <w:color w:val="auto"/>
        </w:rPr>
        <w:t>Ms. Antonoff. In the event Ms. Antonoff is terminated by the Company without Cause or she resigns her employment for Good Reason (as defined below),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82"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6" w:lineRule="auto"/>
        <w:rPr>
          <w:sz w:val="20"/>
          <w:szCs w:val="20"/>
          <w:color w:val="auto"/>
        </w:rPr>
      </w:pPr>
      <w:r>
        <w:rPr>
          <w:rFonts w:ascii="Times New Roman" w:cs="Times New Roman" w:eastAsia="Times New Roman" w:hAnsi="Times New Roman"/>
          <w:sz w:val="17"/>
          <w:szCs w:val="17"/>
          <w:color w:val="auto"/>
        </w:rPr>
        <w:t>provided she signs a separation agreement and general release of claims and allows it to become effective, she is eligible to receive severance in the amount of six (6) months of her base salary (the gross amount of $225,000) and payment of her COBRA premiums for six</w:t>
      </w:r>
    </w:p>
    <w:p>
      <w:pPr>
        <w:spacing w:after="0" w:line="1" w:lineRule="exact"/>
        <w:rPr>
          <w:sz w:val="20"/>
          <w:szCs w:val="20"/>
          <w:color w:val="auto"/>
        </w:rPr>
      </w:pPr>
    </w:p>
    <w:p>
      <w:pPr>
        <w:ind w:left="1100" w:right="60" w:firstLine="1"/>
        <w:spacing w:after="0" w:line="251" w:lineRule="auto"/>
        <w:tabs>
          <w:tab w:leader="none" w:pos="13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her termination date (in the gross amount of $17,695.43, or until the earlier of the expiration of her continuation coverage under COBRA or the date when she becomes eligible for health insurance in connection with new employment or self-employment. Additionally, if a Change of Control occurs (as defined in the Stock Plan) and, upon or within twelve (12) months following such Change of Control, Ms. Antonoff’s employment with the Company is terminated by the Company other than for Cause or is terminated by Ms. Antonoff for Good Reason (each as defined below), subject to Ms. Antonoff’s execution and non-revocation of a general release in a form reasonably acceptable to the Company no later than the sixtieth (60th) day after her separation, (i) the vesting of all awards of RSUs held by Ms. Antonoff shall accelerate as of such termination; such that all of the total RSUs held by Ms. Antonoff that are unvested as of such termination will vest. In addition, if the successor to the Company or any affiliate of such successor does not agree to assume, substitute or otherwise continue any awards of RSUs at the time of a Change of Control (and if offered new or continued employment with such acquirer or successor, Ms. Antonoff does not voluntarily resign without Good Reason), then 100% of the then unvested shares subject to the awards of RSUs that are not assumed or substituted for, as applicable, shall fully vest and immediately prior to, and contingent upon, the consummation of such Change of Control.</w:t>
      </w:r>
    </w:p>
    <w:p>
      <w:pPr>
        <w:spacing w:after="0" w:line="84" w:lineRule="exact"/>
        <w:rPr>
          <w:sz w:val="20"/>
          <w:szCs w:val="20"/>
          <w:color w:val="auto"/>
        </w:rPr>
      </w:pPr>
    </w:p>
    <w:p>
      <w:pPr>
        <w:ind w:left="1100" w:right="20"/>
        <w:spacing w:after="0" w:line="255" w:lineRule="auto"/>
        <w:rPr>
          <w:sz w:val="20"/>
          <w:szCs w:val="20"/>
          <w:color w:val="auto"/>
        </w:rPr>
      </w:pPr>
      <w:r>
        <w:rPr>
          <w:rFonts w:ascii="Times New Roman" w:cs="Times New Roman" w:eastAsia="Times New Roman" w:hAnsi="Times New Roman"/>
          <w:sz w:val="18"/>
          <w:szCs w:val="18"/>
          <w:color w:val="auto"/>
        </w:rPr>
        <w:t>“Good Reason” is defined in Ms. Antonoff’s Employment Agreement, and is summarized as follows: a resignation following any of the following events or conditions, without Ms. Antonoff’s express written consent: (i) a material reduction in duties, authority or responsibilities; (ii) requiring to report to an officer or employee other than the CEO or directly to the Board; (iii) a material reduction in annual base salary, annual bonus or incentive compensation opportunity; (iv) the relocation of her principal place of employment to a location more than forty (40) miles from her principal place of employment or the Company requiring her to be based anywhere other than such principal place of employment; or (v) any action or inaction that constitutes a material breach by the Company of the employment agreement.</w:t>
      </w:r>
    </w:p>
    <w:p>
      <w:pPr>
        <w:spacing w:after="0" w:line="94" w:lineRule="exact"/>
        <w:rPr>
          <w:sz w:val="20"/>
          <w:szCs w:val="20"/>
          <w:color w:val="auto"/>
        </w:rPr>
      </w:pPr>
    </w:p>
    <w:p>
      <w:pPr>
        <w:ind w:left="1080" w:hanging="424"/>
        <w:spacing w:after="0" w:line="25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Susan Stick. Under her July 31, 2023, Employment Agreement, Ms. Stick’s employment is “at-will,” provided that in the event her employment is terminated by the Company without Cause or she resigns her employment for Good Reason (each as defined below) she is eligible to receive severance in the amount of six (6) months of her base salary (the gross amount of $160,000) and payment of her COBRA premiums for six (6) months following her termination date (in the gross amount of $18,020.03. If a Change of Control occurs (as defined in the Company’s Stock Plan) and, upon or within twelve (12) months following such Change of Control, Ms. Stick’s employment with the Company is terminated by the Company other than for Cause or is terminated by Ms. Stick for Good Reason (each as defined below), subject to the Ms. Stick’s execution and non-revocation of a general release in a form reasonably acceptable to the Company no later than the sixtieth (60th) day after her separation, the vesting of all awards of RSUs held by Ms. Stick shall accelerate as of such termination; such that all of the total RSUs held by Ms. Stick that are unvested as of such termination will vest. In addition, if the successor to the Company or any affiliate of such successor does not agree to assume, substitute or otherwise continue any awards of RSUs at the time of a Change of Control (and if offered new or continued employment with such acquirer or successor, Ms. Stick does not voluntarily resign without Good Reason), then 100% of the then unvested shares subject to the awards of RSUs that are not assumed or substituted for, as applicable, shall fully vest and, if applicable, become exercisable immediately prior to, and contingent upon, the consummation of such Change of Control</w:t>
      </w:r>
    </w:p>
    <w:p>
      <w:pPr>
        <w:spacing w:after="0" w:line="8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defined in Ms. Stick’s Employment Agreement, and is summarized as follows: a resignation following any of the</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events or conditions, without Ms. Stick’s express written consent: (i) a material reduction of her duties or reporting relationship</w:t>
      </w:r>
    </w:p>
    <w:p>
      <w:pPr>
        <w:spacing w:after="0" w:line="9"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requires her to relocate to a location more than 35 miles from her principal place of employment.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82" w:right="4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“Cause” is defined in each NEO’s employment agreement, and is summarized as follows: the occurrence of one or more of the following:</w:t>
      </w:r>
    </w:p>
    <w:p>
      <w:pPr>
        <w:spacing w:after="0" w:line="27" w:lineRule="exact"/>
        <w:rPr>
          <w:sz w:val="20"/>
          <w:szCs w:val="20"/>
          <w:color w:val="auto"/>
        </w:rPr>
      </w:pPr>
    </w:p>
    <w:p>
      <w:pPr>
        <w:ind w:left="120" w:hanging="4"/>
        <w:spacing w:after="0" w:line="253" w:lineRule="auto"/>
        <w:tabs>
          <w:tab w:leader="none" w:pos="3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malfeasance or intentional misconduct harmful to the Company; (ii) conviction of a crime that is detrimental to the Company; (iii) conviction of, or entry of a plea to a crime that damages the Company’s financial condition or reputation or to a crime involving fraud; (iv) material violation of the Company’s Code of Ethics; (v) willful failure to perform duties; (vi) failure to cooperate with an investigation authorized by the Board; (vii) failure to follow a proper Board directive; or (viii) willful misconduct or gross negligence pursuant to the Sarbanes-Oxley Act, if and to the extent such conduct triggers a restatement of the Company’s financial results.</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general descriptions of the Severance Plan, and each NEO’s employment agreement are qualified in their entirety by reference to the text of the Severance Plan and each such employment agreement.</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40"/>
          </w:cols>
          <w:pgMar w:left="320" w:top="482" w:right="6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87" w:name="page88"/>
    <w:bookmarkEnd w:id="8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w:t>
      </w:r>
      <w:r>
        <w:rPr>
          <w:rFonts w:ascii="Times New Roman" w:cs="Times New Roman" w:eastAsia="Times New Roman" w:hAnsi="Times New Roman"/>
          <w:sz w:val="14"/>
          <w:szCs w:val="14"/>
          <w:b w:val="1"/>
          <w:bCs w:val="1"/>
          <w:color w:val="auto"/>
        </w:rPr>
        <w:t>AY</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ERFORMANCE</w:t>
      </w:r>
    </w:p>
    <w:p>
      <w:pPr>
        <w:spacing w:after="0" w:line="229"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Act, and Item 402(v) of Regulation S-K (the “PVP Rules”), we are providing the following: (1) tabular compensation and performance disclosure for our NEOs for each of fiscal years 2022 and 2023 (the “Covered Years”); (2) a list of financial performance measures that the Company considers to be its most important to align compensation actually paid to the NEOs in 2023 to Company performance; and (3) additional disclosure relative to the relationship between the “compensation actually paid” (“CAP”) set forth in the Pay versus Performance Table and each of the performance metrics set forth in the Pay versus Performance Table and between the Company’s and the Peer Group Total Shareholder Return (“TSR”), in each case over 2022 and 2023.</w:t>
      </w:r>
    </w:p>
    <w:p>
      <w:pPr>
        <w:spacing w:after="0" w:line="187" w:lineRule="exact"/>
        <w:rPr>
          <w:sz w:val="20"/>
          <w:szCs w:val="20"/>
          <w:color w:val="auto"/>
        </w:rPr>
      </w:pPr>
    </w:p>
    <w:p>
      <w:pPr>
        <w:ind w:left="4" w:right="540"/>
        <w:spacing w:after="0" w:line="261" w:lineRule="auto"/>
        <w:rPr>
          <w:sz w:val="20"/>
          <w:szCs w:val="20"/>
          <w:color w:val="auto"/>
        </w:rPr>
      </w:pPr>
      <w:r>
        <w:rPr>
          <w:rFonts w:ascii="Times New Roman" w:cs="Times New Roman" w:eastAsia="Times New Roman" w:hAnsi="Times New Roman"/>
          <w:sz w:val="18"/>
          <w:szCs w:val="18"/>
          <w:color w:val="auto"/>
        </w:rPr>
        <w:t>Although the PVP Rules require us to disclose “compensation actually paid,” these amounts do not necessarily reflect compensation that our NEOs actually earned in the Covered Years. Instead, “compensation actually paid” reflects a calculation computed in accordance with the PVP Rules, including adjusted values to unvested and vested equity awards during the Covered Years based on either year-end or vesting date stock prices and various accounting valuation assumptions. “Compensation actually paid” generally fluctuates due to stock price performance.</w:t>
      </w:r>
    </w:p>
    <w:p>
      <w:pPr>
        <w:sectPr>
          <w:pgSz w:w="11900" w:h="16838" w:orient="portrait"/>
          <w:cols w:equalWidth="0" w:num="1">
            <w:col w:w="11144"/>
          </w:cols>
          <w:pgMar w:left="436" w:top="29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3"/>
          <w:szCs w:val="13"/>
          <w:b w:val="1"/>
          <w:bCs w:val="1"/>
          <w:u w:val="single" w:color="auto"/>
          <w:color w:val="auto"/>
        </w:rPr>
        <w:t>Year (1)</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2023</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b w:val="1"/>
          <w:bCs w:val="1"/>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16510</wp:posOffset>
            </wp:positionV>
            <wp:extent cx="69608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6087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3"/>
                <w:szCs w:val="13"/>
                <w:color w:val="auto"/>
              </w:rPr>
            </w:pPr>
          </w:p>
        </w:tc>
        <w:tc>
          <w:tcPr>
            <w:tcW w:w="1460" w:type="dxa"/>
            <w:vAlign w:val="bottom"/>
            <w:gridSpan w:val="4"/>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$100 Investment</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60" w:type="dxa"/>
            <w:vAlign w:val="bottom"/>
            <w:gridSpan w:val="2"/>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Based On:</w:t>
            </w:r>
          </w:p>
        </w:tc>
        <w:tc>
          <w:tcPr>
            <w:tcW w:w="2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tcPr>
          <w:p>
            <w:pPr>
              <w:spacing w:after="0"/>
              <w:rPr>
                <w:sz w:val="10"/>
                <w:szCs w:val="10"/>
                <w:color w:val="auto"/>
              </w:rPr>
            </w:pPr>
          </w:p>
        </w:tc>
        <w:tc>
          <w:tcPr>
            <w:tcW w:w="7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40" w:type="dxa"/>
            <w:vAlign w:val="bottom"/>
          </w:tcPr>
          <w:p>
            <w:pPr>
              <w:spacing w:after="0"/>
              <w:rPr>
                <w:sz w:val="10"/>
                <w:szCs w:val="10"/>
                <w:color w:val="auto"/>
              </w:rPr>
            </w:pPr>
          </w:p>
        </w:tc>
        <w:tc>
          <w:tcPr>
            <w:tcW w:w="7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Selected</w:t>
            </w:r>
          </w:p>
        </w:tc>
        <w:tc>
          <w:tcPr>
            <w:tcW w:w="0" w:type="dxa"/>
            <w:vAlign w:val="bottom"/>
          </w:tcPr>
          <w:p>
            <w:pPr>
              <w:spacing w:after="0"/>
              <w:rPr>
                <w:sz w:val="1"/>
                <w:szCs w:val="1"/>
                <w:color w:val="auto"/>
              </w:rPr>
            </w:pPr>
          </w:p>
        </w:tc>
      </w:tr>
      <w:tr>
        <w:trPr>
          <w:trHeight w:val="149"/>
        </w:trPr>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3"/>
            <w:vMerge w:val="continue"/>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center"/>
              <w:ind w:left="125"/>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Measure:</w:t>
            </w:r>
          </w:p>
        </w:tc>
        <w:tc>
          <w:tcPr>
            <w:tcW w:w="0" w:type="dxa"/>
            <w:vAlign w:val="bottom"/>
          </w:tcPr>
          <w:p>
            <w:pPr>
              <w:spacing w:after="0"/>
              <w:rPr>
                <w:sz w:val="1"/>
                <w:szCs w:val="1"/>
                <w:color w:val="auto"/>
              </w:rPr>
            </w:pPr>
          </w:p>
        </w:tc>
      </w:tr>
      <w:tr>
        <w:trPr>
          <w:trHeight w:val="148"/>
        </w:trPr>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16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4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73"/>
        </w:trPr>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PEO (2)</w:t>
            </w:r>
          </w:p>
        </w:tc>
        <w:tc>
          <w:tcPr>
            <w:tcW w:w="100" w:type="dxa"/>
            <w:vAlign w:val="bottom"/>
          </w:tcPr>
          <w:p>
            <w:pPr>
              <w:spacing w:after="0"/>
              <w:rPr>
                <w:sz w:val="15"/>
                <w:szCs w:val="15"/>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 PEO (3)</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NEOs (2)</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NEOs (4)</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Return (5)</w:t>
            </w:r>
          </w:p>
        </w:tc>
        <w:tc>
          <w:tcPr>
            <w:tcW w:w="140" w:type="dxa"/>
            <w:vAlign w:val="bottom"/>
          </w:tcPr>
          <w:p>
            <w:pPr>
              <w:spacing w:after="0"/>
              <w:rPr>
                <w:sz w:val="15"/>
                <w:szCs w:val="15"/>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Return (6)</w:t>
            </w:r>
          </w:p>
        </w:tc>
        <w:tc>
          <w:tcPr>
            <w:tcW w:w="1240" w:type="dxa"/>
            <w:vAlign w:val="bottom"/>
            <w:gridSpan w:val="2"/>
            <w:vMerge w:val="continue"/>
          </w:tcPr>
          <w:p>
            <w:pPr>
              <w:spacing w:after="0"/>
              <w:rPr>
                <w:sz w:val="15"/>
                <w:szCs w:val="15"/>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EBITDA (7)</w:t>
            </w:r>
          </w:p>
        </w:tc>
        <w:tc>
          <w:tcPr>
            <w:tcW w:w="0" w:type="dxa"/>
            <w:vAlign w:val="bottom"/>
          </w:tcPr>
          <w:p>
            <w:pPr>
              <w:spacing w:after="0"/>
              <w:rPr>
                <w:sz w:val="1"/>
                <w:szCs w:val="1"/>
                <w:color w:val="auto"/>
              </w:rPr>
            </w:pPr>
          </w:p>
        </w:tc>
      </w:tr>
      <w:tr>
        <w:trPr>
          <w:trHeight w:val="191"/>
        </w:trPr>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$ 1,914,800</w:t>
            </w:r>
          </w:p>
        </w:tc>
        <w:tc>
          <w:tcPr>
            <w:tcW w:w="26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3,532,043</w:t>
            </w:r>
          </w:p>
        </w:tc>
        <w:tc>
          <w:tcPr>
            <w:tcW w:w="26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$ 2,641,659</w:t>
            </w:r>
          </w:p>
        </w:tc>
        <w:tc>
          <w:tcPr>
            <w:tcW w:w="260" w:type="dxa"/>
            <w:vAlign w:val="bottom"/>
          </w:tcPr>
          <w:p>
            <w:pPr>
              <w:spacing w:after="0"/>
              <w:rPr>
                <w:sz w:val="16"/>
                <w:szCs w:val="16"/>
                <w:color w:val="auto"/>
              </w:rPr>
            </w:pPr>
          </w:p>
        </w:tc>
        <w:tc>
          <w:tcPr>
            <w:tcW w:w="9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$ 3,498,046</w:t>
            </w:r>
          </w:p>
        </w:tc>
        <w:tc>
          <w:tcPr>
            <w:tcW w:w="260" w:type="dxa"/>
            <w:vAlign w:val="bottom"/>
          </w:tcPr>
          <w:p>
            <w:pPr>
              <w:spacing w:after="0"/>
              <w:rPr>
                <w:sz w:val="16"/>
                <w:szCs w:val="16"/>
                <w:color w:val="auto"/>
              </w:rPr>
            </w:pPr>
          </w:p>
        </w:tc>
        <w:tc>
          <w:tcPr>
            <w:tcW w:w="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jc w:val="right"/>
              <w:ind w:right="405"/>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93</w:t>
            </w:r>
          </w:p>
        </w:tc>
        <w:tc>
          <w:tcPr>
            <w:tcW w:w="2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-$28,171,000</w:t>
            </w:r>
          </w:p>
        </w:tc>
        <w:tc>
          <w:tcPr>
            <w:tcW w:w="2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 $20,559,000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$ 3,932,605</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503,566</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$ 7,283,268</w:t>
            </w: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$ 4,937,726</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720" w:type="dxa"/>
            <w:vAlign w:val="bottom"/>
            <w:gridSpan w:val="2"/>
          </w:tcPr>
          <w:p>
            <w:pPr>
              <w:jc w:val="right"/>
              <w:ind w:right="405"/>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85</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-$91,629,000</w:t>
            </w: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-$40,096,000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-282575</wp:posOffset>
            </wp:positionV>
            <wp:extent cx="699516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304" w:space="720"/>
            <w:col w:w="9120"/>
          </w:cols>
          <w:pgMar w:left="436" w:top="293" w:right="319" w:bottom="1440" w:gutter="0" w:footer="0" w:header="0"/>
          <w:type w:val="continuous"/>
        </w:sectPr>
      </w:pPr>
    </w:p>
    <w:p>
      <w:pPr>
        <w:spacing w:after="0" w:line="25" w:lineRule="exact"/>
        <w:rPr>
          <w:sz w:val="20"/>
          <w:szCs w:val="20"/>
          <w:color w:val="auto"/>
        </w:rPr>
      </w:pPr>
    </w:p>
    <w:p>
      <w:pPr>
        <w:ind w:left="424" w:right="140" w:hanging="424"/>
        <w:spacing w:after="0" w:line="282"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 Hulls served as the Company’s Principal Executive Officer (our “PEO”) for the entirety of fiscal years 2022 and 2023. The Company’s other NEOs for the indicated fiscal years were as follows: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Russell Burke, Lauren Antonoff, Susan Stick and David Rice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Charles Prober and Kirsten Daru</w:t>
      </w:r>
    </w:p>
    <w:p>
      <w:pPr>
        <w:spacing w:after="0" w:line="130" w:lineRule="exact"/>
        <w:rPr>
          <w:rFonts w:ascii="Times New Roman" w:cs="Times New Roman" w:eastAsia="Times New Roman" w:hAnsi="Times New Roman"/>
          <w:sz w:val="18"/>
          <w:szCs w:val="18"/>
          <w:color w:val="auto"/>
        </w:rPr>
      </w:pPr>
    </w:p>
    <w:p>
      <w:pPr>
        <w:ind w:left="424" w:right="180" w:hanging="424"/>
        <w:spacing w:after="0" w:line="257"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(i) the total compensation reported in the Summary Compensation Table for the indicated fiscal year in the case of our PEO and (ii) the average of the total compensation reported in the Summary Compensation Table for the non-PEO NEOs in the indicated year for such years. Refer to “Executive Compensation—Summary Compensation Table.”</w:t>
      </w:r>
    </w:p>
    <w:p>
      <w:pPr>
        <w:spacing w:after="0" w:line="1" w:lineRule="exact"/>
        <w:rPr>
          <w:rFonts w:ascii="Times New Roman" w:cs="Times New Roman" w:eastAsia="Times New Roman" w:hAnsi="Times New Roman"/>
          <w:sz w:val="18"/>
          <w:szCs w:val="18"/>
          <w:color w:val="auto"/>
        </w:rPr>
      </w:pPr>
    </w:p>
    <w:p>
      <w:pPr>
        <w:jc w:val="both"/>
        <w:ind w:left="424" w:right="540" w:hanging="424"/>
        <w:spacing w:after="0" w:line="255" w:lineRule="auto"/>
        <w:tabs>
          <w:tab w:leader="none" w:pos="4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these columns represent the amount of CAP to our PEO for the indicated fiscal year, as calculated under Item 402(v) of Regulation S-K based on their total compensation reported in the Summary Compensation Table for the indicated fiscal years and adjusted as shown in the tables below:</w:t>
      </w:r>
    </w:p>
    <w:p>
      <w:pPr>
        <w:spacing w:after="0" w:line="207"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PEO</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42"/>
        </w:trPr>
        <w:tc>
          <w:tcPr>
            <w:tcW w:w="180" w:type="dxa"/>
            <w:vAlign w:val="bottom"/>
            <w:tcBorders>
              <w:top w:val="single" w:sz="8" w:color="auto"/>
              <w:bottom w:val="single" w:sz="8" w:color="CCEEFF"/>
            </w:tcBorders>
          </w:tcPr>
          <w:p>
            <w:pPr>
              <w:spacing w:after="0"/>
              <w:rPr>
                <w:sz w:val="12"/>
                <w:szCs w:val="12"/>
                <w:color w:val="auto"/>
              </w:rPr>
            </w:pPr>
          </w:p>
        </w:tc>
        <w:tc>
          <w:tcPr>
            <w:tcW w:w="858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09"/>
        </w:trPr>
        <w:tc>
          <w:tcPr>
            <w:tcW w:w="180" w:type="dxa"/>
            <w:vAlign w:val="bottom"/>
            <w:shd w:val="clear" w:color="auto" w:fill="CCEEFF"/>
          </w:tcPr>
          <w:p>
            <w:pPr>
              <w:spacing w:after="0"/>
              <w:rPr>
                <w:sz w:val="18"/>
                <w:szCs w:val="18"/>
                <w:color w:val="auto"/>
              </w:rPr>
            </w:pPr>
          </w:p>
        </w:tc>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Summary Compensation Table - Total Compensation</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3,932,605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1,914,800</w:t>
            </w:r>
          </w:p>
        </w:tc>
        <w:tc>
          <w:tcPr>
            <w:tcW w:w="4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 Date Fair Value of Stock Awards and Option Awards Granted in Fiscal Year</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(b)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2,876,205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Fair Value at Fiscal Year End of Outstanding and Unvested Stock Awards and Option Awards Granted in Fiscal Year</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   $</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1,583,255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Outstanding and Unvested Stock Awards and Option Awards Granted in Prior Fiscal Years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 -$</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  1,399,960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1,014,097</w:t>
            </w:r>
          </w:p>
        </w:tc>
      </w:tr>
      <w:tr>
        <w:trPr>
          <w:trHeight w:val="216"/>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Fair Value at Vesting of Stock Awards and Option Awards Granted in Fiscal Year That Vested During Fiscal Year</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   $</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450,974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365"/>
        </w:trPr>
        <w:tc>
          <w:tcPr>
            <w:tcW w:w="180" w:type="dxa"/>
            <w:vAlign w:val="bottom"/>
          </w:tcPr>
          <w:p>
            <w:pPr>
              <w:spacing w:after="0"/>
              <w:rPr>
                <w:sz w:val="24"/>
                <w:szCs w:val="24"/>
                <w:color w:val="auto"/>
              </w:rPr>
            </w:pPr>
          </w:p>
        </w:tc>
        <w:tc>
          <w:tcPr>
            <w:tcW w:w="8580" w:type="dxa"/>
            <w:vAlign w:val="bottom"/>
          </w:tcPr>
          <w:p>
            <w:pPr>
              <w:ind w:left="524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4"/>
          </w:cols>
          <w:pgMar w:left="436" w:top="293" w:right="319" w:bottom="1440" w:gutter="0" w:footer="0" w:header="0"/>
          <w:type w:val="continuous"/>
        </w:sectPr>
      </w:pPr>
    </w:p>
    <w:bookmarkStart w:id="88" w:name="page89"/>
    <w:bookmarkEnd w:id="88"/>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PEO</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42"/>
        </w:trPr>
        <w:tc>
          <w:tcPr>
            <w:tcW w:w="240" w:type="dxa"/>
            <w:vAlign w:val="bottom"/>
            <w:tcBorders>
              <w:top w:val="single" w:sz="8" w:color="auto"/>
            </w:tcBorders>
          </w:tcPr>
          <w:p>
            <w:pPr>
              <w:spacing w:after="0"/>
              <w:rPr>
                <w:sz w:val="12"/>
                <w:szCs w:val="12"/>
                <w:color w:val="auto"/>
              </w:rPr>
            </w:pPr>
          </w:p>
        </w:tc>
        <w:tc>
          <w:tcPr>
            <w:tcW w:w="802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Borders>
              <w:top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78"/>
        </w:trPr>
        <w:tc>
          <w:tcPr>
            <w:tcW w:w="240" w:type="dxa"/>
            <w:vAlign w:val="bottom"/>
            <w:tcBorders>
              <w:top w:val="single" w:sz="8" w:color="CCEEFF"/>
            </w:tcBorders>
            <w:shd w:val="clear" w:color="auto" w:fill="CCEEFF"/>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w w:val="78"/>
              </w:rPr>
              <w:t>+</w:t>
            </w:r>
          </w:p>
        </w:tc>
        <w:tc>
          <w:tcPr>
            <w:tcW w:w="8020" w:type="dxa"/>
            <w:vAlign w:val="bottom"/>
            <w:tcBorders>
              <w:top w:val="single" w:sz="8" w:color="CCEEFF"/>
            </w:tcBorders>
            <w:shd w:val="clear" w:color="auto" w:fill="CCEEFF"/>
          </w:tcPr>
          <w:p>
            <w:pPr>
              <w:ind w:left="140"/>
              <w:spacing w:after="0" w:line="177" w:lineRule="exact"/>
              <w:rPr>
                <w:sz w:val="20"/>
                <w:szCs w:val="20"/>
                <w:color w:val="auto"/>
              </w:rPr>
            </w:pPr>
            <w:r>
              <w:rPr>
                <w:rFonts w:ascii="Times New Roman" w:cs="Times New Roman" w:eastAsia="Times New Roman" w:hAnsi="Times New Roman"/>
                <w:sz w:val="18"/>
                <w:szCs w:val="18"/>
                <w:color w:val="auto"/>
              </w:rPr>
              <w:t>Change in Fair Value as of Vesting Date of Stock Awards and Option Awards Granted in Prior Fiscal Years</w:t>
            </w:r>
          </w:p>
        </w:tc>
        <w:tc>
          <w:tcPr>
            <w:tcW w:w="6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240" w:type="dxa"/>
            <w:vAlign w:val="bottom"/>
            <w:shd w:val="clear" w:color="auto" w:fill="CCEEFF"/>
          </w:tcPr>
          <w:p>
            <w:pPr>
              <w:spacing w:after="0"/>
              <w:rPr>
                <w:sz w:val="20"/>
                <w:szCs w:val="20"/>
                <w:color w:val="auto"/>
              </w:rPr>
            </w:pPr>
          </w:p>
        </w:tc>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 Which Applicable Vesting Conditions Were Satisfied During Fiscal Year</w:t>
            </w:r>
          </w:p>
        </w:tc>
        <w:tc>
          <w:tcPr>
            <w:tcW w:w="1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(f)   -$1,187,102 </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603,146</w:t>
            </w:r>
          </w:p>
        </w:tc>
      </w:tr>
    </w:tbl>
    <w:p>
      <w:pPr>
        <w:ind w:left="384" w:hanging="384"/>
        <w:spacing w:after="0"/>
        <w:tabs>
          <w:tab w:leader="none" w:pos="3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as of Prior Fiscal Year End of Stock Awards and Option Awards Granted in Prior Fiscal Years</w:t>
      </w:r>
    </w:p>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That Failed to Meet Applicable Vesting Conditions During Fiscal Year</w:t>
            </w:r>
          </w:p>
        </w:tc>
        <w:tc>
          <w:tcPr>
            <w:tcW w:w="18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(g)</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8"/>
              </w:rPr>
              <w:t>=</w:t>
            </w:r>
          </w:p>
        </w:tc>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18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503,566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3,532,043</w:t>
            </w:r>
          </w:p>
        </w:tc>
      </w:tr>
    </w:tbl>
    <w:p>
      <w:pPr>
        <w:spacing w:after="0" w:line="198"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Equity Award values are calculated in accordance with FASB ASC Topic 718, and the valuation assumptions used to calculate fair values did not materially differ from those disclosed at the time of grant.</w:t>
      </w:r>
    </w:p>
    <w:p>
      <w:pPr>
        <w:spacing w:after="0" w:line="67" w:lineRule="exact"/>
        <w:rPr>
          <w:sz w:val="20"/>
          <w:szCs w:val="20"/>
          <w:color w:val="auto"/>
        </w:rPr>
      </w:pPr>
    </w:p>
    <w:p>
      <w:pPr>
        <w:ind w:left="424" w:right="100" w:hanging="424"/>
        <w:spacing w:after="0" w:line="266" w:lineRule="auto"/>
        <w:tabs>
          <w:tab w:leader="none" w:pos="42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in this column represent the amount of CAP to our non-PEO NEOs in the indicated fiscal year, as calculated under Item 402(v) of Regulation S-K based on the average total compensation for such non-PEO NEOs reported in the Summary Compensation Table for the indicated fiscal year and adjusted as shown in the table below:</w:t>
      </w:r>
    </w:p>
    <w:p>
      <w:pPr>
        <w:spacing w:after="0" w:line="196"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Non-PEO NEO Average</w:t>
      </w:r>
    </w:p>
    <w:p>
      <w:pPr>
        <w:spacing w:after="0" w:line="26" w:lineRule="exact"/>
        <w:rPr>
          <w:sz w:val="20"/>
          <w:szCs w:val="20"/>
          <w:color w:val="auto"/>
        </w:rPr>
      </w:pPr>
    </w:p>
    <w:tbl>
      <w:tblPr>
        <w:tblLayout w:type="fixed"/>
        <w:tblInd w:w="4" w:type="dxa"/>
        <w:tblCellMar>
          <w:top w:w="0" w:type="dxa"/>
          <w:left w:w="0" w:type="dxa"/>
          <w:bottom w:w="0" w:type="dxa"/>
          <w:right w:w="0" w:type="dxa"/>
        </w:tblCellMar>
      </w:tblPr>
      <w:tr>
        <w:trPr>
          <w:trHeight w:val="142"/>
        </w:trPr>
        <w:tc>
          <w:tcPr>
            <w:tcW w:w="7480" w:type="dxa"/>
            <w:vAlign w:val="bottom"/>
            <w:tcBorders>
              <w:top w:val="single" w:sz="8" w:color="auto"/>
              <w:bottom w:val="single" w:sz="8" w:color="CCEEFF"/>
            </w:tcBorders>
          </w:tcPr>
          <w:p>
            <w:pPr>
              <w:spacing w:after="0"/>
              <w:rPr>
                <w:sz w:val="12"/>
                <w:szCs w:val="12"/>
                <w:color w:val="auto"/>
              </w:rPr>
            </w:pPr>
          </w:p>
        </w:tc>
        <w:tc>
          <w:tcPr>
            <w:tcW w:w="162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CEEFF"/>
            </w:tcBorders>
          </w:tcPr>
          <w:p>
            <w:pPr>
              <w:spacing w:after="0"/>
              <w:rPr>
                <w:sz w:val="12"/>
                <w:szCs w:val="12"/>
                <w:color w:val="auto"/>
              </w:rPr>
            </w:pPr>
          </w:p>
        </w:tc>
      </w:tr>
      <w:tr>
        <w:trPr>
          <w:trHeight w:val="210"/>
        </w:trPr>
        <w:tc>
          <w:tcPr>
            <w:tcW w:w="7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Summary Compensation Table—Total Compensation</w:t>
            </w:r>
          </w:p>
        </w:tc>
        <w:tc>
          <w:tcPr>
            <w:tcW w:w="16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(a)</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$ 7,283,268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$ 2,641,659</w:t>
            </w:r>
          </w:p>
        </w:tc>
        <w:tc>
          <w:tcPr>
            <w:tcW w:w="80" w:type="dxa"/>
            <w:vAlign w:val="bottom"/>
            <w:shd w:val="clear" w:color="auto" w:fill="CCEEFF"/>
          </w:tcPr>
          <w:p>
            <w:pPr>
              <w:spacing w:after="0"/>
              <w:rPr>
                <w:sz w:val="18"/>
                <w:szCs w:val="18"/>
                <w:color w:val="auto"/>
              </w:rPr>
            </w:pPr>
          </w:p>
        </w:tc>
      </w:tr>
      <w:tr>
        <w:trPr>
          <w:trHeight w:val="21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   Grant Date Fair Value of Stock Awards and Option Awards Granted in Fiscal Year</w:t>
            </w:r>
          </w:p>
        </w:tc>
        <w:tc>
          <w:tcPr>
            <w:tcW w:w="1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(b)</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$ 6,783,285</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$ 2,127,131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6995160" cy="274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304" w:hanging="304"/>
        <w:spacing w:after="0"/>
        <w:tabs>
          <w:tab w:leader="none" w:pos="3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at Fiscal Year End of Outstanding and Unvested Stock Awards and Option Awards Granted in Fiscal</w:t>
      </w:r>
    </w:p>
    <w:p>
      <w:pPr>
        <w:spacing w:after="0" w:line="7" w:lineRule="exact"/>
        <w:rPr>
          <w:sz w:val="20"/>
          <w:szCs w:val="20"/>
          <w:color w:val="auto"/>
        </w:rPr>
      </w:pPr>
    </w:p>
    <w:tbl>
      <w:tblPr>
        <w:tblLayout w:type="fixed"/>
        <w:tblInd w:w="304" w:type="dxa"/>
        <w:tblCellMar>
          <w:top w:w="0" w:type="dxa"/>
          <w:left w:w="0" w:type="dxa"/>
          <w:bottom w:w="0" w:type="dxa"/>
          <w:right w:w="0" w:type="dxa"/>
        </w:tblCellMar>
      </w:tblPr>
      <w:tr>
        <w:trPr>
          <w:trHeight w:val="21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534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(c)  $ 4,428,067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$ 2,217,169</w:t>
            </w:r>
          </w:p>
        </w:tc>
      </w:tr>
    </w:tbl>
    <w:p>
      <w:pPr>
        <w:ind w:left="304" w:hanging="304"/>
        <w:spacing w:after="0"/>
        <w:tabs>
          <w:tab w:leader="none" w:pos="3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Outstanding and Unvested Stock Awards and Option Awards Granted in Prior Fiscal</w:t>
      </w: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Years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257,647</w:t>
            </w:r>
          </w:p>
        </w:tc>
      </w:tr>
      <w:tr>
        <w:trPr>
          <w:trHeight w:val="216"/>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Fair Value at Vesting of Stock Awards and Option Awards Granted in Fiscal Year That Vested During Fiscal Year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186,029</w:t>
            </w:r>
          </w:p>
        </w:tc>
      </w:tr>
      <w:tr>
        <w:trPr>
          <w:trHeight w:val="198"/>
        </w:trPr>
        <w:tc>
          <w:tcPr>
            <w:tcW w:w="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38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 in Fair Value as of Vesting Date of Stock Awards and Option Awards Granted in Prior Fiscal Years For</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4"/>
        </w:trPr>
        <w:tc>
          <w:tcPr>
            <w:tcW w:w="200" w:type="dxa"/>
            <w:vAlign w:val="bottom"/>
          </w:tcPr>
          <w:p>
            <w:pPr>
              <w:spacing w:after="0"/>
              <w:rPr>
                <w:sz w:val="20"/>
                <w:szCs w:val="20"/>
                <w:color w:val="auto"/>
              </w:rPr>
            </w:pP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Which Applicable Vesting Conditions Were Satisfied During Fiscal Year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322,673</w:t>
            </w:r>
          </w:p>
        </w:tc>
      </w:tr>
      <w:tr>
        <w:trPr>
          <w:trHeight w:val="198"/>
        </w:trPr>
        <w:tc>
          <w:tcPr>
            <w:tcW w:w="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38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Fair Value as of Prior Fiscal Year End of Stock Awards and Option Awards Granted in Prior Fiscal Years That</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34"/>
        </w:trPr>
        <w:tc>
          <w:tcPr>
            <w:tcW w:w="200" w:type="dxa"/>
            <w:vAlign w:val="bottom"/>
            <w:shd w:val="clear" w:color="auto" w:fill="CCEEFF"/>
          </w:tcPr>
          <w:p>
            <w:pPr>
              <w:spacing w:after="0"/>
              <w:rPr>
                <w:sz w:val="20"/>
                <w:szCs w:val="20"/>
                <w:color w:val="auto"/>
              </w:rPr>
            </w:pPr>
          </w:p>
        </w:tc>
        <w:tc>
          <w:tcPr>
            <w:tcW w:w="8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Failed to Meet Applicable Vesting Conditions During Fiscal Year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Actually Paid</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4,937,726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3,498,046</w:t>
            </w:r>
          </w:p>
        </w:tc>
      </w:tr>
    </w:tbl>
    <w:p>
      <w:pPr>
        <w:spacing w:after="0" w:line="179"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Equity Award values are calculated in accordance with FASB ASC Topic 718, and the valuation assumptions used to calculate fair values did not materially differ from those disclosed at the time of grant.</w:t>
      </w:r>
    </w:p>
    <w:p>
      <w:pPr>
        <w:spacing w:after="0" w:line="67" w:lineRule="exact"/>
        <w:rPr>
          <w:sz w:val="20"/>
          <w:szCs w:val="20"/>
          <w:color w:val="auto"/>
        </w:rPr>
      </w:pPr>
    </w:p>
    <w:p>
      <w:pPr>
        <w:ind w:left="424" w:right="60" w:hanging="424"/>
        <w:spacing w:after="0" w:line="254"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402(v) of Regulation S-K, the comparison assumes $100 was invested in our Common Stock on June 27, 2022, the effective date of our Registration Statement on Form 10 filed with the SEC, using the closing stock price of a share of the Company’s Common Stock (traded as three CDIs on the ASX), calculated by multiplying the closing CDI price on that date, by 3 (to account for the 1:3 ratio of Common Stock to CDIs) and using an exchange rate of 0.6942 to convert Australian dollars to U.S. dollars on that date. Historic stock price performance is not necessarily indicative of future stock price performance.</w:t>
      </w:r>
    </w:p>
    <w:p>
      <w:pPr>
        <w:spacing w:after="0" w:line="3"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TSR Peer Group is the company’s 2023 compensation peer group. This calculation assumes that $100 was invested in this peer group index on June 27, 2022 (aligned with the period used in footnote #5 above).</w:t>
      </w:r>
    </w:p>
    <w:p>
      <w:pPr>
        <w:ind w:left="424" w:right="60" w:hanging="424"/>
        <w:spacing w:after="0" w:line="253" w:lineRule="auto"/>
        <w:tabs>
          <w:tab w:leader="none" w:pos="42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metric that the Company defines as net loss, excluding (i) convertible notes and derivative liability fair value adjustments, (ii) provision for income taxes, (iii) depreciation and amortization, (iv) other income, net, (v) stock-based compensation, (vi) Form 10-transaction costs, (vii) acquisition and integration costs, (viii) workplace restructuring costs, (ix) inventory write-offs, (x) adjustment in connection with membership benefit, (xi) warehouse relocation costs and (xii) gain on revaluation of contingent consideration.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4"/>
          </w:cols>
          <w:pgMar w:left="436" w:top="290"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Tabular List of Performance Measures</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is a list of performance measures, which in the Company’s assessment represent the most important performance measures used by the Company to link compensation actually paid to the NEOs for 2023. These metrics are used in the bonus plan.</w:t>
      </w:r>
    </w:p>
    <w:p>
      <w:pPr>
        <w:spacing w:after="0" w:line="67" w:lineRule="exact"/>
        <w:rPr>
          <w:sz w:val="20"/>
          <w:szCs w:val="20"/>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Revenue AMR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Circles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Compensation Actually Paid and Performance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Because CAP does not reflect the actual amount earned by our NEOs on their equity compensation, we do not use this measure for understanding how NEO pay aligns with our company performance. For a discussion of how the Remuneration and Nomination Committee assessed “pay-for-performance” and how our executive compensation program is designed to link executive compensation with the achievement of our financial and strategic objectives as well as stockholder value creation each year, see the section titled “</w:t>
      </w:r>
      <w:r>
        <w:rPr>
          <w:rFonts w:ascii="Times New Roman" w:cs="Times New Roman" w:eastAsia="Times New Roman" w:hAnsi="Times New Roman"/>
          <w:sz w:val="17"/>
          <w:szCs w:val="17"/>
          <w:i w:val="1"/>
          <w:iCs w:val="1"/>
          <w:color w:val="auto"/>
        </w:rPr>
        <w:t>Compensation Discussion and Analysis</w:t>
      </w:r>
      <w:r>
        <w:rPr>
          <w:rFonts w:ascii="Times New Roman" w:cs="Times New Roman" w:eastAsia="Times New Roman" w:hAnsi="Times New Roman"/>
          <w:sz w:val="17"/>
          <w:szCs w:val="17"/>
          <w:color w:val="auto"/>
        </w:rPr>
        <w:t>” of this proxy statement.</w:t>
      </w:r>
    </w:p>
    <w:p>
      <w:pPr>
        <w:spacing w:after="0" w:line="16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Below are graphs showing the relationship of “Compensation Actually Paid” to our PEO and non-PEO NEOs for our fiscal years 2022 and 2023 to (1) the TSR of both our common stock and the compensation peer group, (2) our net income (loss), and (3) our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131445</wp:posOffset>
            </wp:positionV>
            <wp:extent cx="3608705" cy="32143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08705"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93" w:right="45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434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9019"/>
          </w:cols>
          <w:pgMar w:left="1440" w:top="1440" w:right="1440" w:bottom="1440" w:gutter="0" w:footer="0" w:header="0"/>
        </w:sectPr>
      </w:pPr>
    </w:p>
    <w:bookmarkStart w:id="91" w:name="page92"/>
    <w:bookmarkEnd w:id="91"/>
    <w:p>
      <w:pPr>
        <w:ind w:right="3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All information provided above under the “</w:t>
      </w:r>
      <w:r>
        <w:rPr>
          <w:rFonts w:ascii="Times New Roman" w:cs="Times New Roman" w:eastAsia="Times New Roman" w:hAnsi="Times New Roman"/>
          <w:sz w:val="18"/>
          <w:szCs w:val="18"/>
          <w:i w:val="1"/>
          <w:iCs w:val="1"/>
          <w:color w:val="auto"/>
        </w:rPr>
        <w:t>Pay Versus Performance</w:t>
      </w:r>
      <w:r>
        <w:rPr>
          <w:rFonts w:ascii="Times New Roman" w:cs="Times New Roman" w:eastAsia="Times New Roman" w:hAnsi="Times New Roman"/>
          <w:sz w:val="18"/>
          <w:szCs w:val="18"/>
          <w:color w:val="auto"/>
        </w:rPr>
        <w:t>” heading will not be deemed to be incorporated by reference in any filing of the Company under the Securities Act or the Exchange Act, whether made before or after the date hereof and irrespective of any general incorporation language in any such filing, except to the extent the Company specifically incorporates such information by reference.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2011 Stock Plan</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Stock Plan, was initially approved by our Board on July 27, 2011 and by our stockholders on October 11, 2011 and was most recently amended by our Board on March 10, 2020, and approved by our stockholders on July 30, 2020.</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purpose of the Stock Plan is to attract and retain the best available personnel for positions of substantial responsibility, to provide additional incentive to employees and consultants, and to promote the success of our business.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Stock Awards</w:t>
      </w:r>
    </w:p>
    <w:p>
      <w:pPr>
        <w:spacing w:after="0" w:line="11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Stock Plan permits the grant of incentive stock options, nonstatutory stock options, restricted stock, and restricted stock units (all such types of awards, collectively, “stock awards”). Incentive stock options may only be granted to employees of the Company.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Number of Shares</w:t>
      </w:r>
    </w:p>
    <w:p>
      <w:pPr>
        <w:spacing w:after="0" w:line="119"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Subject to adjustments as set forth in the Stock Plan, the maximum aggregate number of shares of Common Stock that may be issued under the Stock Plan is 13,324,063 shares as of February 29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2023. The shares may be authorized, but unissued, or reacquired shares. Furthermore, subject to adjustments as set forth in the Stock Plan, in no event shall the maximum aggregate number of shares that may be issued under the Stock Plan pursuant to incentive stock options exceed the number set forth above plus, to the extent allowable under Section 422 of the U.S. Tax Code and the regulations promulgated thereunder, any shares that again become available for issuance pursuant to the Stock Plan.</w:t>
      </w:r>
    </w:p>
    <w:p>
      <w:pPr>
        <w:spacing w:after="0" w:line="19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number of shares of Common Stock available for issuance under the Stock Plan has been and will be increased on January 1 of each year, commencing with January 1, 2021 and ending on January 1, 2028 (which is expected to be the last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before the termination date of the Stock Plan), in an amount equal to the lessor of (i) five percent (5%) of the outstanding Shares (as defined in the Stock Plan) on the last day of the immediately preceding December 31, (ii) 5,000,000 Shares and (iii) such number of Shares determined by the Board.</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Lapsed Awards</w:t>
      </w:r>
    </w:p>
    <w:p>
      <w:pPr>
        <w:spacing w:after="0" w:line="11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To the extent a stock award expires or is forfeited or becomes unexercisable for any reason without having been exercised in full, the unissued shares that were subject thereto shall, unless the Stock Plan shall have been terminated, continue to be available under the Stock Plan for issuance pursuant to future stock awards. In addition, any shares which we retain upon exercise of a stock award in order to satisfy the exercise or purchase price for such stock award or any withholding taxes due with respect to such stock award shall be treated as not issued and shall continue to be available under the Stock Plan for issuance pursuant to future stock awards. Shares issued under the Stock Plan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Stock Plan.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9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Eligibility</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Employees, directors and consultants of us or our subsidiaries, or affiliates are all eligible to participate in the Stock Plan. Incentive stock options may only be granted to employees.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Stock Plan may be administered by the Board or a committee thereof (the “Administrator”). Subject to the terms of the Stock Plan, the Administrator has the authority, in its discretion, to (i) determine the fair market value in accordance with the Stock Plan; (ii) select the service providers to whom stock awards may be granted under the Stock Plan; (iii) determine the number of shares to be covered by each stock award granted under the Stock Plan; (iv) approve forms of stock award agreements for use under the Stock Plan; (v) determine the terms and conditions, not inconsistent with the terms of the Stock Plan, of any stock award granted thereunder; (vi) amend any outstanding stock award or agreement related to any optioned stock, restricted stock or RSU, including any amendment adjusting; (vii) determine whether and under what circumstances an option may be settled in cash instead of shares; (viii) approve addenda or grant stock awards to, or to modify the terms of, any outstanding option agreement, restricted stock purchase agreement, RSU agreement, or any agreement related to any optioned stock, restricted stock or RSUs; (ix) construe and interpret the terms of the Stock Plan, any option agreement, restricted stock purchase agreement, or restricted stock unit agreement and any agreement related to any optioned stock, restricted stock or RSUs, which constructions, interpretations and decisions shall be final and binding on all participants.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stock option will be designated in the stock award agreement as either an incentive stock option (which is entitled to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our employees.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per share exercise price for the shares to be issued pursuant to exercise of a stock option will be determined by the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w:t>
      </w:r>
    </w:p>
    <w:p>
      <w:pPr>
        <w:spacing w:after="0" w:line="187"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At the time a stock option is granted, the Administrator will fix the period within which the stock option may be exercised and will determine any conditions that must be satisfied before the stock option may be exercised. The Administrator will also determine the acceptable form of consideration for exercising a stock option, including the method of payment which may consist of (1) cash; (2) check; (3) to the extent permitted under, and in accordance with, applicable laws, delivery of a promissory note with such recourse, interest, security and redemption provisions as the Administrator determines to be appropriate; (4) cancellation of indebtedness; (5) other previously owned shares that have a fair market value on the date of surrender equal to the aggregate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95" w:right="459" w:bottom="1440" w:gutter="0" w:footer="0" w:header="0"/>
        </w:sectPr>
      </w:pPr>
    </w:p>
    <w:bookmarkStart w:id="93" w:name="page94"/>
    <w:bookmarkEnd w:id="93"/>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exercise price of the shares as to which the option is exercised; (6) a cashless exercise; (7) such other consideration and method of payment permitted under applicable laws; or (8) any combination of the foregoing methods of payment.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 participant ceases to be a service provider other than for “Cause,” as defined in the Stock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other than Cause. Any outstanding stock option (including any vested portion thereof) held by a participant shall immediately terminate in its entirety upon the participant being first notified of his or her termination for Cause.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Restricted Stock Units (RSUs) and Performance Restricted Stock Units (PRSUs)</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Restricted stock awards are grants of shares of Company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Each RSU is a bookkeeping entry representing an amount equal to the fair market value of one share of our Company Common Stock.</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determining whether restricted stock, time-based RSUs or PRSUs should be granted, and/or the vesting schedule for such a stock award, the Administrator may impose whatever conditions on vesting as it determines to be appropriate. For example, the Administrator may determine to grant restricted stock or RSUs only if performance goals established by the Administrator are satisfied. Any such RSUs are referred to as performance RSUs. Any performance goals may be applied on a Company-wide or an individual business unit basis, as determined by the Administrator.</w:t>
      </w:r>
    </w:p>
    <w:p>
      <w:pPr>
        <w:spacing w:after="0" w:line="18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During the period of restriction, participants holding restricted stock may exercise full voting rights and will be entitled to receive all dividends and other distributions paid. Any dividends or distributions paid with respect to such shares will be subject to the same restrictions, including without limitation restrictions on transferability and forfeitability, as the restricted stock with respect to which they were paid.</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During the vesting period, participants holding RSUs will hold no voting rights by virtue of such RSUs. The Administrator may, in its sole discretion, award dividend equivalents in connection with the grant of RSUs that may be settled in cash, in shares of equivalent value, or in some combination thereof. Any dividend equivalents awarded with respect to such RSUs will be subject to the same restrictions, including without limitation restrictions on transferability and forfeitability, as the RSUs with respect to which they were awarded.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Leaves of Absence / Transfer Between Locations</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Administrator has the discretion to determine at any time whether and to what extent the vesting of stock awards shall be suspended during any leave of absence. A participant will not cease to be an employee in the case of (i) sick leave we approve, (ii) military leave, (iii) any leave of absence approved by the participant’s employer or (iv) transfers between our locations or between us and any affiliate. If an employee holds an incentive stock option and such leave exceeds three months then, for purposes of incentive stock option status only, such employee’s service as an employee shall be deemed terminated on the first day following such three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40"/>
          </w:cols>
          <w:pgMar w:left="440" w:top="297" w:right="5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Nontransferability of Stock Awards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Unless determined otherwise by the Administrator, a stock award may not be sold, pledged, assigned, hypothecated, transferred, or disposed of in any manner other than by will or by the laws of descent or distribution and may be exercised, during the lifetime of the participant, only by the participant. If the Administrator makes a stock award transferable, such stock award will contain such additional terms and conditions as the Administrator deems appropriate.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a Corporate Transaction</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“Corporate Transaction”), each outstanding stock award (vested or unvested) will be treated as the Administrator determines, which determination may be made without the consent of any participant and need not treat all outstanding stock awards (or portion thereof) in an identical manner. Such determination, without the consent of any participant, may provide (without limitation) for one or more of the following in the event of a Corporate Transaction: (A) the continuation of such outstanding stock awards by the company (if the company is the surviving corporation); (B) the assumption of such outstanding stock awards by the surviving corporation or its parent; (C) the substitution by the surviving corporation or its parent of new options or equity awards for such stock awards; (D) the cancellation of such stock awards in exchange for a payment to the participants equal to the excess of (1) the fair market value of the shares subject to such stock awards as of the closing date of such Corporate Transaction over (2) any exercise price or purchase price paid or to be paid for the shares subject to the stock awards; or (E) the cancellation of any outstanding options, an outstanding right to purchase Restricted Stock or outstanding RSUs, in any case, for no consideration.</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Notwithstanding anything under the Stock Plan, any stock award agreement or otherwise, any escrow, holdback, earn-out or similar provisions agreed to pursuant to, or in connection with, a Corporate Transaction shall, unless otherwise determined by our Board, apply to any payment or other right a participant may be entitled to under the Stock Plan, if any, to the same extent and in the same manner as such provisions apply generally to the holders of our Common Stock with respect to the Corporate Transaction, but only to the extent permitted by applicable law. In addition, notwithstanding the above, under no circumstances may the terms of any outstanding option be amended or modified so as to have any of the following effects: (1) reducing the per share exercise price of an option, (2) increasing the period for exercise of an option, or (3) increasing the number of shares received on exercise of an option. Further, any other amendment or modification to the terms of any option can only be made with stockholder approval or on the provision of a waiver of the ASX Listing Rules, and under no circumstances may an Option be cancelled unless (1) stockholder approval has been obtained for the cancellation of the Option, or (2) no consideration is provided to the optionee in connection with the cancellation of the Option.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Termination and Duration of the Stock Plan</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Subject to the ASX Listing Rules, and any waivers granted by ASX, the Board of Directors may at any time amend or terminate the Stock Plan, but no amendment or termination (other than an adjustment pursuant to a Corporate Transaction (as defined in and pursuant to the Stock Plan) shall be made that would materially and adversely affect the rights of any participant under any outstanding award, without his or her consent. In addition, to the extent necessary and desirable to comply with applicable laws, we will obtain the approval of holders of capital stock with respect to any Stock Plan amendment in such a manner and to such a degree as required.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95" w:right="459" w:bottom="1440" w:gutter="0" w:footer="0" w:header="0"/>
        </w:sectPr>
      </w:pPr>
    </w:p>
    <w:bookmarkStart w:id="95" w:name="page96"/>
    <w:bookmarkEnd w:id="9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w:t>
      </w:r>
      <w:r>
        <w:rPr>
          <w:rFonts w:ascii="Times New Roman" w:cs="Times New Roman" w:eastAsia="Times New Roman" w:hAnsi="Times New Roman"/>
          <w:sz w:val="14"/>
          <w:szCs w:val="14"/>
          <w:b w:val="1"/>
          <w:bCs w:val="1"/>
          <w:color w:val="auto"/>
        </w:rPr>
        <w:t>IRECTOR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OMPENSATION</w:t>
      </w:r>
    </w:p>
    <w:p>
      <w:pPr>
        <w:spacing w:after="0" w:line="121" w:lineRule="exact"/>
        <w:rPr>
          <w:sz w:val="20"/>
          <w:szCs w:val="20"/>
          <w:color w:val="auto"/>
        </w:rPr>
      </w:pPr>
    </w:p>
    <w:p>
      <w:pPr>
        <w:ind w:left="4" w:right="200"/>
        <w:spacing w:after="0" w:line="258" w:lineRule="auto"/>
        <w:rPr>
          <w:sz w:val="20"/>
          <w:szCs w:val="20"/>
          <w:color w:val="auto"/>
        </w:rPr>
      </w:pPr>
      <w:r>
        <w:rPr>
          <w:rFonts w:ascii="Times New Roman" w:cs="Times New Roman" w:eastAsia="Times New Roman" w:hAnsi="Times New Roman"/>
          <w:sz w:val="18"/>
          <w:szCs w:val="18"/>
          <w:color w:val="auto"/>
        </w:rPr>
        <w:t>Under the Company’s Bylaws, the directors decide the total amount paid to each non-executive director as remuneration for their services. However, under the ASX Listing Rules, the total amount paid to all non-executive directors must not exceed in any financial year the amount fixed in a general meeting of the Company. This amount is capped under the Bylaws at $1,000,000. Any increase to the aggregate amount needs to be approved by stockholders. Additionally, under the ASX Listing Rules, the Company must not permit a director to acquire securities under an employee incentive scheme unless it obtains stockholder approval.</w:t>
      </w:r>
    </w:p>
    <w:p>
      <w:pPr>
        <w:spacing w:after="0" w:line="183"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Therefore, the issue of RSUs and options to each director requires stockholder approval. Directors will seek approval of the stockholders from time to time, as required by ASX Listing Rules and as appropriate. This aggregate annual sum does not include any special remuneration which our Board may grant to the directors for special exertions or additional services performed by a director for or at the request of the company, which may be made in addition to or in substitution for the director’s fees.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2023, we paid our directors as follows:</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5880" w:type="dxa"/>
            <w:vAlign w:val="bottom"/>
            <w:vMerge w:val="restart"/>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 (2)</w:t>
            </w:r>
          </w:p>
        </w:tc>
        <w:tc>
          <w:tcPr>
            <w:tcW w:w="3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Chair (1)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48,000</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143,500</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Risk Management Committee Chair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and Risk Management Committee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 and Nomination Committee Chair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 and Nomination Committee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424" w:right="40" w:hanging="424"/>
        <w:spacing w:after="0" w:line="261"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Chair fee is in lieu of Board Member fee. Committee Member fees are supplemental to Board Chair, Board Member and Committee Chair fees.</w:t>
      </w:r>
    </w:p>
    <w:p>
      <w:pPr>
        <w:ind w:left="424" w:hanging="424"/>
        <w:spacing w:after="0"/>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non-executive directors received 100% of their equity award as RSUs.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Fees paid to directors are reviewed and set on an annual basis. In 2024, the Board approved increases to the fees paid to our directors as follows:</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5880" w:type="dxa"/>
            <w:vAlign w:val="bottom"/>
            <w:vMerge w:val="restart"/>
          </w:tcPr>
          <w:p>
            <w:pPr>
              <w:spacing w:after="0"/>
              <w:rPr>
                <w:sz w:val="13"/>
                <w:szCs w:val="13"/>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588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740" w:type="dxa"/>
            <w:vAlign w:val="bottom"/>
          </w:tcPr>
          <w:p>
            <w:pPr>
              <w:jc w:val="right"/>
              <w:ind w:right="115"/>
              <w:spacing w:after="0" w:line="160" w:lineRule="exact"/>
              <w:rPr>
                <w:sz w:val="20"/>
                <w:szCs w:val="20"/>
                <w:color w:val="auto"/>
              </w:rPr>
            </w:pPr>
            <w:r>
              <w:rPr>
                <w:rFonts w:ascii="Times New Roman" w:cs="Times New Roman" w:eastAsia="Times New Roman" w:hAnsi="Times New Roman"/>
                <w:sz w:val="14"/>
                <w:szCs w:val="14"/>
                <w:b w:val="1"/>
                <w:bCs w:val="1"/>
                <w:color w:val="auto"/>
              </w:rPr>
              <w:t>($) (2)</w:t>
            </w:r>
          </w:p>
        </w:tc>
        <w:tc>
          <w:tcPr>
            <w:tcW w:w="3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Board Chair (1)</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63,000</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193,500</w:t>
            </w: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256,500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and Risk Management Committee Chair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and Risk Management Committee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Remuneration and Nomination Committee Chair</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Remuneration and Nomination Committee Member</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24" w:right="40" w:hanging="424"/>
        <w:spacing w:after="0" w:line="261" w:lineRule="auto"/>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Chair fee is in lieu of Board Member fee. Committee Member fees are supplemental to Board Chair, Board Member and Committee Chair fees.</w:t>
      </w:r>
    </w:p>
    <w:p>
      <w:pPr>
        <w:ind w:left="424" w:hanging="424"/>
        <w:spacing w:after="0"/>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Non-executive directors will receive 100% of their equity award as RSUs</w:t>
      </w:r>
    </w:p>
    <w:p>
      <w:pPr>
        <w:spacing w:after="0" w:line="139"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24"/>
          </w:cols>
          <w:pgMar w:left="436" w:top="293" w:right="5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for the fiscal year ended December 31, 2023 the compensation earned by or paid to all non-executive directors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COMPENSATION FOR FISCAL 2023</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Feed earned</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800" w:type="dxa"/>
            <w:vAlign w:val="bottom"/>
            <w:vMerge w:val="restart"/>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or paid in</w:t>
            </w:r>
          </w:p>
        </w:tc>
        <w:tc>
          <w:tcPr>
            <w:tcW w:w="10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5800" w:type="dxa"/>
            <w:vAlign w:val="bottom"/>
            <w:vMerge w:val="continue"/>
          </w:tcPr>
          <w:p>
            <w:pPr>
              <w:spacing w:after="0"/>
              <w:rPr>
                <w:sz w:val="15"/>
                <w:szCs w:val="15"/>
                <w:color w:val="auto"/>
              </w:rPr>
            </w:pPr>
          </w:p>
        </w:tc>
        <w:tc>
          <w:tcPr>
            <w:tcW w:w="118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cash ($) (1)</w:t>
            </w:r>
          </w:p>
        </w:tc>
        <w:tc>
          <w:tcPr>
            <w:tcW w:w="740" w:type="dxa"/>
            <w:vAlign w:val="bottom"/>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(2) (3)</w:t>
            </w:r>
          </w:p>
        </w:tc>
        <w:tc>
          <w:tcPr>
            <w:tcW w:w="3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Philip Coghlan</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143,000</w:t>
            </w: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95"/>
              </w:rPr>
              <w:t>154,000</w:t>
            </w: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297,000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Haro</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120,000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Brittany Morin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125,000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Synge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w:t>
            </w:r>
          </w:p>
        </w:tc>
        <w:tc>
          <w:tcPr>
            <w:tcW w:w="3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125,500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127,000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2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135,000</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5"/>
              </w:rPr>
              <w:t>125,500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Prober</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320" w:type="dxa"/>
            <w:vAlign w:val="bottom"/>
          </w:tcPr>
          <w:p>
            <w:pPr>
              <w:spacing w:after="0"/>
              <w:rPr>
                <w:sz w:val="20"/>
                <w:szCs w:val="20"/>
                <w:color w:val="auto"/>
              </w:rPr>
            </w:pPr>
          </w:p>
        </w:tc>
        <w:tc>
          <w:tcPr>
            <w:tcW w:w="10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line="25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each director received a base fee of $35,000, except for Mr. Prober who earned a prorated base fee of $16,900 for his service as a director following his transition away from his executive officer role at the Company on July 7, 2023. In addition, Mr. Coghlan received $48,000 for serving as Chair of our Board, Messrs. Coghlan, Synge, and Ms. Zuckerberg, each received an additional $3,500 for serving as members of our Audit and Risk Management Committee, and Mr. Wiadrowski received an additional $5,000 for serving as the chair of our Audit and Risk Management Committee, Mr. Coghlan and Ms. Morin each received an additional $4,000 for serving on our Remuneration and Nomination Committee and Mr. Goines received an additional $5,000 for serving as the chair of our Remuneration and Nomination Committee; and each of Messrs. Coghlan and Wiadrowski and Ms. Zuckerberg received an additional $87,500 for serving on a special committee established by the Board in 2023 to evaluate strategic options for maximizing stockholder value (the “Special Committee”) and Mr. Goines received an additional $95,000 for serving as the chair of our Special Committee.</w:t>
      </w:r>
    </w:p>
    <w:p>
      <w:pPr>
        <w:spacing w:after="0" w:line="6"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in the Company’s Annual Report on Form 10-K for the fiscal year ended December 31, 2023.</w:t>
      </w:r>
    </w:p>
    <w:p>
      <w:pPr>
        <w:spacing w:after="0" w:line="1"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Board modified the annual equity grant to be awarded in RSUs only, eliminating the stock option component. Accordingly, no stock options were granted to directors during 2023. The aggregate number of shares subject to stock option awards (from stock option grants made prior to 2023) and the aggregate number of shares subject to RSU awards as of December 31, 2023 was as follows: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4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7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 Option Awards</w:t>
            </w:r>
          </w:p>
        </w:tc>
      </w:tr>
      <w:tr>
        <w:trPr>
          <w:trHeight w:val="203"/>
        </w:trPr>
        <w:tc>
          <w:tcPr>
            <w:tcW w:w="27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 Philip Coghlan</w:t>
            </w:r>
          </w:p>
        </w:tc>
        <w:tc>
          <w:tcPr>
            <w:tcW w:w="25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5,834</w:t>
            </w:r>
          </w:p>
        </w:tc>
        <w:tc>
          <w:tcPr>
            <w:tcW w:w="9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265,004</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Alex Haro</w:t>
            </w:r>
          </w:p>
        </w:tc>
        <w:tc>
          <w:tcPr>
            <w:tcW w:w="4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4,546</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407,837</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Brittany Morin</w:t>
            </w:r>
          </w:p>
        </w:tc>
        <w:tc>
          <w:tcPr>
            <w:tcW w:w="42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4,735</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127,031</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Synge</w:t>
            </w:r>
          </w:p>
        </w:tc>
        <w:tc>
          <w:tcPr>
            <w:tcW w:w="4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4,754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33,972</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Goines</w:t>
            </w:r>
          </w:p>
        </w:tc>
        <w:tc>
          <w:tcPr>
            <w:tcW w:w="42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4,811</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34,045</w:t>
            </w:r>
          </w:p>
        </w:tc>
      </w:tr>
      <w:tr>
        <w:trPr>
          <w:trHeight w:val="216"/>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Wiadrowski</w:t>
            </w:r>
          </w:p>
        </w:tc>
        <w:tc>
          <w:tcPr>
            <w:tcW w:w="4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5,114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37,361</w:t>
            </w:r>
          </w:p>
        </w:tc>
      </w:tr>
      <w:tr>
        <w:trPr>
          <w:trHeight w:val="216"/>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Randi Zuckerberg</w:t>
            </w:r>
          </w:p>
        </w:tc>
        <w:tc>
          <w:tcPr>
            <w:tcW w:w="4220" w:type="dxa"/>
            <w:vAlign w:val="bottom"/>
            <w:gridSpan w:val="3"/>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4,754</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37,870</w:t>
            </w:r>
          </w:p>
        </w:tc>
      </w:tr>
      <w:tr>
        <w:trPr>
          <w:trHeight w:val="23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Prober</w:t>
            </w:r>
          </w:p>
        </w:tc>
        <w:tc>
          <w:tcPr>
            <w:tcW w:w="422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307,430</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232,752</w:t>
            </w:r>
          </w:p>
        </w:tc>
      </w:tr>
      <w:tr>
        <w:trPr>
          <w:trHeight w:val="346"/>
        </w:trPr>
        <w:tc>
          <w:tcPr>
            <w:tcW w:w="3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89</w:t>
            </w: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OLICY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ROCEDURES</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We have procedures in place to identify related party transactions. We require all Board members to complete and sign an annual director’s questionnaire which includes updated directorships and known related party transactions. All related party transactions pertaining to executives, including the Chief Executive Officer, require approval by the Audit and Risk Management Committee. All Board directors are required to declare all conflicts of interest at every Board meeting. Management reviews the vendor list every month to identify any related parties. Transactions with related parties will also be subject to stockholder approval to the extent required by the ASX Listing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ERTAIN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ERSON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RANSACTIONS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2023 to which we have been a party in which the amount involved exceeded or will exceed $120,000, and in which any of our directors, executive officers or beneficial owners of more than 5% of any class of our voting securities or any member of the immediate family of any of the foregoing persons had or will have a direct or indirect material interest, other than compensation arrangements with directors and executive officers, which are described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In this proxy statement.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Fourth Amended and Restated Investors’ Rights Agreement</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September 18, 2018, we entered into the fourth amended and restated investors’ rights agreement (the “Investors’ Rights Agreement”) with certain holders of our Common Stock, including Chris Hulls, our Co-Founder, Chief Executive Officer, and member of our Board, James Synge, a member of our Board, entities affiliated with each of Alex Haro, Mark Goines and John Philip Coghlan, each a member of our Board, and certain other holders of Common Stock or CDIs of the Company issued upon the prior conversion of the Company’s preferred stock. The Investors’ Rights Agreement provides, among other things, certain stockholders with registration rights and piggyback rights in connection with our Common Stock. The Investors’ Rights Agreement also contains certain limitations on the ability of such stockholders to sell, loan or otherwise dispose of any of our securities, subject to certain exceptions, in connection with an initial public offering. We will pay for certain fees and expenses relating to the registration rights set forth in the Investors’ Rights Agreement and agreed to indemnify the holders of registrable securities and certain other parties against (or make contributions in respect of) certain liabilities that may arise under the Securities Act. This summary does not purport to be complete and is qualified in its entirety by the provisions of the Investors’ Rights Agreement, a copy of which has been filed as an exhibit to the Company’s Annual Report on Form 10-K for the fiscal year ended 2023.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Company provides indemnification for its directors and officers so that they will be free from undue concern about personal liability in connection with their service to the Company. Under the Company’s Bylaws, the Company is required to indemnify and provide advancement of expenses incurred in defense of a proceeding to its current and former directors and officers to the extent not prohibited under Delaware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Life360,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Life360, Inc. Direct your written request to Life360, Inc., Attn: Management, 1900 S Norfolk Street, San Mateo, CA 94403. Stockholders who currently receive multiple copies of the Notices of Internet Availability of Proxy Materials at their addresses and would like to request “householding” of their communications should contact their brokers.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22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make available, free of charge on our website, all of our filings that are made electronically with the SEC, including Forms 10-K, 10-Q and 8-K. To access these filings, go to our website investors.life360.com and click on “SEC Filings” under the “Financials &amp; Filings” heading. Copies of our Annual Report on Form 10-K for the year ended December 31, 2023, including financial statements and schedules thereto, filed with the SEC, are also available without charge to stockholders by contacting Life360 by mail at Life360, Inc., Attn: Management, 1900 S Norfolk Street, San Mateo, CA 94403, or by email at investors@life360.com.</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addition, the ASX maintains a website that contains documents required under Australian securities laws and other information regarding our filings at www.asx.com.au. To access these filings, go to our website investors.life360.com and click on the “ASX Announcements” under the “Financials &amp; Filings” heading. The information found on our website in not incorporated by reference into this proxy statement or any other report we file with or furnish to the SEC.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by or at the direction of the Board, it is the intention of the persons named in the accompanying proxy to vote on such matters in accordance with their best judgment.</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Russell Burke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 2024</w:t>
      </w:r>
    </w:p>
    <w:p>
      <w:pPr>
        <w:spacing w:after="0" w:line="221" w:lineRule="exact"/>
        <w:rPr>
          <w:sz w:val="20"/>
          <w:szCs w:val="20"/>
          <w:color w:val="auto"/>
        </w:rPr>
      </w:pPr>
    </w:p>
    <w:p>
      <w:pPr>
        <w:ind w:left="120" w:right="240"/>
        <w:spacing w:after="0" w:line="317" w:lineRule="auto"/>
        <w:rPr>
          <w:sz w:val="20"/>
          <w:szCs w:val="20"/>
          <w:color w:val="auto"/>
        </w:rPr>
      </w:pPr>
      <w:r>
        <w:rPr>
          <w:rFonts w:ascii="Times New Roman" w:cs="Times New Roman" w:eastAsia="Times New Roman" w:hAnsi="Times New Roman"/>
          <w:sz w:val="17"/>
          <w:szCs w:val="17"/>
          <w:b w:val="1"/>
          <w:bCs w:val="1"/>
          <w:color w:val="auto"/>
        </w:rPr>
        <w:t>A copy of the Company’s Annual Report to the Securities and Exchange Commission on Form 10-K for the fiscal year ended December 31, 2023 is available without charge upon written request to: Chief Financial Officer, Life360, Inc., 1900 S Norfolk Street, San Mateo, CA 94403.</w:t>
      </w:r>
    </w:p>
    <w:p>
      <w:pPr>
        <w:spacing w:after="0" w:line="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82"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collect and analyze operating and financial data to evaluate the health of our business, allocate our resources and assess our performance.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addition to total revenue, net loss and other results under GAAP, we utilize non-GAAP calculations of earnings before interest, taxes, depreciation and amortization (“EBITDA”) and adjusted earnings before interest, taxes, depreciation and amortization (“Adjusted EBITDA”). Adjusted EBITDA is defined as net loss, excluding</w:t>
      </w:r>
    </w:p>
    <w:p>
      <w:pPr>
        <w:spacing w:after="0" w:line="176" w:lineRule="exact"/>
        <w:rPr>
          <w:sz w:val="20"/>
          <w:szCs w:val="20"/>
          <w:color w:val="auto"/>
        </w:rPr>
      </w:pPr>
    </w:p>
    <w:p>
      <w:pPr>
        <w:ind w:left="120" w:right="160" w:hanging="4"/>
        <w:spacing w:after="0" w:line="276" w:lineRule="auto"/>
        <w:tabs>
          <w:tab w:leader="none" w:pos="33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convertible notes and derivative liability fair value adjustments, (ii) provision for income taxes, (iii) depreciation and amortization, (iv) other expense, net, (v) stock-based compensation, (vi) Form 10 transaction costs, (vii) acquisition and integration costs, (viii) workplace restructuring costs,</w:t>
      </w:r>
    </w:p>
    <w:p>
      <w:pPr>
        <w:ind w:left="120" w:right="600" w:hanging="4"/>
        <w:spacing w:after="0" w:line="260" w:lineRule="auto"/>
        <w:tabs>
          <w:tab w:leader="none" w:pos="42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write-offs, (x) adjustment in connection with membership benefit, (xi) warehouse relocation costs and (xii) gain on revaluation of contingent consideration.</w:t>
      </w:r>
    </w:p>
    <w:p>
      <w:pPr>
        <w:spacing w:after="0" w:line="18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above items are excluded from Adjusted EBITDA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useful measures for period-to-period comparisons of our business performance. Moreover, we disclose Adjusted EBITDA because it is a key measurement used by our management team internally to make operating decisions, including those related to operating expenses, evaluate performance, and perform strategic planning and annual budgeting. However, this non-GAAP financial measure is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this non-GAAP financial measure in addition to other financial performance measures presented in accordance with GAAP, including various cash flow metrics, net loss and our other GAAP results.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82"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presents a reconciliation of net loss, the most directly comparable GAAP measure, to Adjusted EBITDA for the periods presented: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80" w:type="dxa"/>
            <w:vAlign w:val="bottom"/>
            <w:gridSpan w:val="6"/>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55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6"/>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(3,146)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7"/>
              </w:rPr>
              <w:t>(12,303)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(28,171)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Add (deduct):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fair value adjustment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Derivative liability fair value adjustment</w:t>
            </w:r>
            <w:r>
              <w:rPr>
                <w:rFonts w:ascii="Times New Roman" w:cs="Times New Roman" w:eastAsia="Times New Roman" w:hAnsi="Times New Roman"/>
                <w:sz w:val="25"/>
                <w:szCs w:val="25"/>
                <w:color w:val="auto"/>
                <w:vertAlign w:val="superscript"/>
              </w:rPr>
              <w:t>(1)</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Depreciation and amortization</w:t>
            </w:r>
            <w:r>
              <w:rPr>
                <w:rFonts w:ascii="Times New Roman" w:cs="Times New Roman" w:eastAsia="Times New Roman" w:hAnsi="Times New Roman"/>
                <w:sz w:val="25"/>
                <w:szCs w:val="25"/>
                <w:color w:val="auto"/>
                <w:vertAlign w:val="superscript"/>
              </w:rPr>
              <w:t>(2)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2,368</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9,141</w:t>
            </w:r>
          </w:p>
        </w:tc>
        <w:tc>
          <w:tcPr>
            <w:tcW w:w="1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(3,228)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(10,344</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(85,212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10,834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10,193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38,512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34,680</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Form 10 transaction costs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923</w:t>
            </w:r>
          </w:p>
        </w:tc>
        <w:tc>
          <w:tcPr>
            <w:tcW w:w="120" w:type="dxa"/>
            <w:vAlign w:val="bottom"/>
          </w:tcPr>
          <w:p>
            <w:pPr>
              <w:spacing w:after="0"/>
              <w:rPr>
                <w:sz w:val="18"/>
                <w:szCs w:val="18"/>
                <w:color w:val="auto"/>
              </w:rPr>
            </w:pPr>
          </w:p>
        </w:tc>
        <w:tc>
          <w:tcPr>
            <w:tcW w:w="92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3,766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11,949</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Workplace restructuring costs</w:t>
            </w:r>
            <w:r>
              <w:rPr>
                <w:rFonts w:ascii="Times New Roman" w:cs="Times New Roman" w:eastAsia="Times New Roman" w:hAnsi="Times New Roman"/>
                <w:sz w:val="25"/>
                <w:szCs w:val="25"/>
                <w:color w:val="auto"/>
                <w:vertAlign w:val="superscript"/>
              </w:rPr>
              <w:t>(3)</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4,024</w:t>
            </w:r>
          </w:p>
        </w:tc>
        <w:tc>
          <w:tcPr>
            <w:tcW w:w="12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Write-off of obsolete inventory</w:t>
            </w:r>
            <w:r>
              <w:rPr>
                <w:rFonts w:ascii="Times New Roman" w:cs="Times New Roman" w:eastAsia="Times New Roman" w:hAnsi="Times New Roman"/>
                <w:sz w:val="25"/>
                <w:szCs w:val="25"/>
                <w:color w:val="auto"/>
                <w:vertAlign w:val="superscript"/>
              </w:rPr>
              <w:t>(4)</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Adjustment in connection with membership benefit</w:t>
            </w:r>
            <w:r>
              <w:rPr>
                <w:rFonts w:ascii="Times New Roman" w:cs="Times New Roman" w:eastAsia="Times New Roman" w:hAnsi="Times New Roman"/>
                <w:sz w:val="25"/>
                <w:szCs w:val="25"/>
                <w:color w:val="auto"/>
                <w:vertAlign w:val="superscript"/>
              </w:rPr>
              <w:t>(5)</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Pr>
          <w:p>
            <w:pPr>
              <w:spacing w:after="0"/>
              <w:rPr>
                <w:sz w:val="18"/>
                <w:szCs w:val="18"/>
                <w:color w:val="auto"/>
              </w:rPr>
            </w:pPr>
          </w:p>
        </w:tc>
        <w:tc>
          <w:tcPr>
            <w:tcW w:w="7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Warehouse relocation costs</w:t>
            </w:r>
            <w:r>
              <w:rPr>
                <w:rFonts w:ascii="Times New Roman" w:cs="Times New Roman" w:eastAsia="Times New Roman" w:hAnsi="Times New Roman"/>
                <w:sz w:val="25"/>
                <w:szCs w:val="25"/>
                <w:color w:val="auto"/>
                <w:vertAlign w:val="superscript"/>
              </w:rPr>
              <w:t>(6)</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20,559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change in value of the derivative liability associated with the July 2021 Convertible Notes.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depreciation on fixed assets and amortization of acquired intangible assets.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non-recurring personnel and severance related expenses in connection with the workplace restructure announced on January 12, 2023.</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write-off of raw materials that have no alternative use to the Company following the decision to halt development.</w:t>
      </w:r>
    </w:p>
    <w:p>
      <w:pPr>
        <w:spacing w:after="0" w:line="9"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an adjustment recorded to reduce product costs recorded to cost of revenue in connection with the discontinuation of certain battery related membership benefits.</w:t>
      </w:r>
    </w:p>
    <w:p>
      <w:pPr>
        <w:ind w:left="540" w:hanging="424"/>
        <w:spacing w:after="0"/>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non-recurring warehouse relocation costs in relation to the Company’s transition to a new logistics partner.</w:t>
      </w:r>
    </w:p>
    <w:p>
      <w:pPr>
        <w:spacing w:after="0" w:line="207"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We are not able to reconcile the forward-looking non-GAAP adjusted EBITDA target range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convertible notes and derivative liability fair value adjustments, and gains/losses on revaluation of contingent consideration. These items may be material to our results calculated in accordance with GAAP.</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82"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5829300" cy="75438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5829300" cy="75438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215265</wp:posOffset>
            </wp:positionV>
            <wp:extent cx="5820410" cy="82296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820410"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215265</wp:posOffset>
            </wp:positionV>
            <wp:extent cx="5820410" cy="82296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820410"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lowerLetter"/>
      <w:start w:val="1"/>
    </w:lvl>
  </w:abstractNum>
  <w:abstractNum w:abstractNumId="10">
    <w:nsid w:val="542289EC"/>
    <w:multiLevelType w:val="hybridMultilevel"/>
    <w:lvl w:ilvl="0">
      <w:lvlJc w:val="left"/>
      <w:lvlText w:val="%1)"/>
      <w:numFmt w:val="lowerLetter"/>
      <w:start w:val="2"/>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1)"/>
      <w:numFmt w:val="lowerRoman"/>
      <w:start w:val="2"/>
    </w:lvl>
  </w:abstractNum>
  <w:abstractNum w:abstractNumId="14">
    <w:nsid w:val="32FFF902"/>
    <w:multiLevelType w:val="hybridMultilevel"/>
    <w:lvl w:ilvl="0">
      <w:lvlJc w:val="left"/>
      <w:lvlText w:val="%1)"/>
      <w:numFmt w:val="lowerLetter"/>
      <w:start w:val="1"/>
    </w:lvl>
    <w:lvl w:ilvl="1">
      <w:lvlJc w:val="left"/>
      <w:lvlText w:val="%2)"/>
      <w:numFmt w:val="lowerRoman"/>
      <w:start w:val="1"/>
    </w:lvl>
  </w:abstractNum>
  <w:abstractNum w:abstractNumId="15">
    <w:nsid w:val="684A481A"/>
    <w:multiLevelType w:val="hybridMultilevel"/>
    <w:lvl w:ilvl="0">
      <w:lvlJc w:val="left"/>
      <w:lvlText w:val="1"/>
      <w:numFmt w:val="bullet"/>
      <w:start w:val="1"/>
    </w:lvl>
  </w:abstractNum>
  <w:abstractNum w:abstractNumId="16">
    <w:nsid w:val="579478FE"/>
    <w:multiLevelType w:val="hybridMultilevel"/>
    <w:lvl w:ilvl="0">
      <w:lvlJc w:val="left"/>
      <w:lvlText w:val="2"/>
      <w:numFmt w:val="bullet"/>
      <w:start w:val="1"/>
    </w:lvl>
  </w:abstractNum>
  <w:abstractNum w:abstractNumId="17">
    <w:nsid w:val="749ABB43"/>
    <w:multiLevelType w:val="hybridMultilevel"/>
    <w:lvl w:ilvl="0">
      <w:lvlJc w:val="left"/>
      <w:lvlText w:val="3"/>
      <w:numFmt w:val="bullet"/>
      <w:start w:val="1"/>
    </w:lvl>
  </w:abstractNum>
  <w:abstractNum w:abstractNumId="18">
    <w:nsid w:val="3DC240FB"/>
    <w:multiLevelType w:val="hybridMultilevel"/>
    <w:lvl w:ilvl="0">
      <w:lvlJc w:val="left"/>
      <w:lvlText w:val="4"/>
      <w:numFmt w:val="bullet"/>
      <w:start w:val="1"/>
    </w:lvl>
  </w:abstractNum>
  <w:abstractNum w:abstractNumId="19">
    <w:nsid w:val="1BA026FA"/>
    <w:multiLevelType w:val="hybridMultilevel"/>
    <w:lvl w:ilvl="0">
      <w:lvlJc w:val="left"/>
      <w:lvlText w:val="7"/>
      <w:numFmt w:val="bullet"/>
      <w:start w:val="1"/>
    </w:lvl>
  </w:abstractNum>
  <w:abstractNum w:abstractNumId="20">
    <w:nsid w:val="79A1DEAA"/>
    <w:multiLevelType w:val="hybridMultilevel"/>
    <w:lvl w:ilvl="0">
      <w:lvlJc w:val="left"/>
      <w:lvlText w:val="8"/>
      <w:numFmt w:val="bullet"/>
      <w:start w:val="1"/>
    </w:lvl>
  </w:abstractNum>
  <w:abstractNum w:abstractNumId="21">
    <w:nsid w:val="75C6C33A"/>
    <w:multiLevelType w:val="hybridMultilevel"/>
    <w:lvl w:ilvl="0">
      <w:lvlJc w:val="left"/>
      <w:lvlText w:val="%1"/>
      <w:numFmt w:val="decimal"/>
      <w:start w:val="12"/>
    </w:lvl>
  </w:abstractNum>
  <w:abstractNum w:abstractNumId="22">
    <w:nsid w:val="12E685FB"/>
    <w:multiLevelType w:val="hybridMultilevel"/>
    <w:lvl w:ilvl="0">
      <w:lvlJc w:val="left"/>
      <w:lvlText w:val="%1"/>
      <w:numFmt w:val="decimal"/>
      <w:start w:val="14"/>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1)"/>
      <w:numFmt w:val="decimal"/>
      <w:start w:val="1"/>
    </w:lvl>
  </w:abstractNum>
  <w:abstractNum w:abstractNumId="30">
    <w:nsid w:val="39386575"/>
    <w:multiLevelType w:val="hybridMultilevel"/>
    <w:lvl w:ilvl="0">
      <w:lvlJc w:val="left"/>
      <w:lvlText w:val="(%1)"/>
      <w:numFmt w:val="decimal"/>
      <w:start w:val="2"/>
    </w:lvl>
  </w:abstractNum>
  <w:abstractNum w:abstractNumId="31">
    <w:nsid w:val="1CF10FD8"/>
    <w:multiLevelType w:val="hybridMultilevel"/>
    <w:lvl w:ilvl="0">
      <w:lvlJc w:val="left"/>
      <w:lvlText w:val="(%1)"/>
      <w:numFmt w:val="decimal"/>
      <w:start w:val="7"/>
    </w:lvl>
  </w:abstractNum>
  <w:abstractNum w:abstractNumId="32">
    <w:nsid w:val="180115BE"/>
    <w:multiLevelType w:val="hybridMultilevel"/>
    <w:lvl w:ilvl="0">
      <w:lvlJc w:val="left"/>
      <w:lvlText w:val="(%1)"/>
      <w:numFmt w:val="upperLetter"/>
      <w:start w:val="2"/>
    </w:lvl>
  </w:abstractNum>
  <w:abstractNum w:abstractNumId="33">
    <w:nsid w:val="235BA861"/>
    <w:multiLevelType w:val="hybridMultilevel"/>
    <w:lvl w:ilvl="0">
      <w:lvlJc w:val="left"/>
      <w:lvlText w:val="(%1)"/>
      <w:numFmt w:val="upperLetter"/>
      <w:start w:val="1"/>
    </w:lvl>
  </w:abstractNum>
  <w:abstractNum w:abstractNumId="34">
    <w:nsid w:val="47398C89"/>
    <w:multiLevelType w:val="hybridMultilevel"/>
    <w:lvl w:ilvl="0">
      <w:lvlJc w:val="left"/>
      <w:lvlText w:val="(%1)"/>
      <w:numFmt w:val="upperLetter"/>
      <w:start w:val="4"/>
    </w:lvl>
  </w:abstractNum>
  <w:abstractNum w:abstractNumId="35">
    <w:nsid w:val="354FE9F9"/>
    <w:multiLevelType w:val="hybridMultilevel"/>
    <w:lvl w:ilvl="0">
      <w:lvlJc w:val="left"/>
      <w:lvlText w:val="(%1)"/>
      <w:numFmt w:val="upperLetter"/>
      <w:start w:val="1"/>
    </w:lvl>
  </w:abstractNum>
  <w:abstractNum w:abstractNumId="36">
    <w:nsid w:val="15B5AF5C"/>
    <w:multiLevelType w:val="hybridMultilevel"/>
    <w:lvl w:ilvl="0">
      <w:lvlJc w:val="left"/>
      <w:lvlText w:val="(%1)"/>
      <w:numFmt w:val="decimal"/>
      <w:start w:val="1"/>
    </w:lvl>
  </w:abstractNum>
  <w:abstractNum w:abstractNumId="37">
    <w:nsid w:val="741226BB"/>
    <w:multiLevelType w:val="hybridMultilevel"/>
    <w:lvl w:ilvl="0">
      <w:lvlJc w:val="left"/>
      <w:lvlText w:val="(%1)"/>
      <w:numFmt w:val="decimal"/>
      <w:start w:val="2"/>
    </w:lvl>
  </w:abstractNum>
  <w:abstractNum w:abstractNumId="38">
    <w:nsid w:val="D34B6A8"/>
    <w:multiLevelType w:val="hybridMultilevel"/>
    <w:lvl w:ilvl="0">
      <w:lvlJc w:val="left"/>
      <w:lvlText w:val=" "/>
      <w:numFmt w:val="bullet"/>
      <w:start w:val="1"/>
    </w:lvl>
  </w:abstractNum>
  <w:abstractNum w:abstractNumId="39">
    <w:nsid w:val="10233C99"/>
    <w:multiLevelType w:val="hybridMultilevel"/>
    <w:lvl w:ilvl="0">
      <w:lvlJc w:val="left"/>
      <w:lvlText w:val=" "/>
      <w:numFmt w:val="bullet"/>
      <w:start w:val="1"/>
    </w:lvl>
  </w:abstractNum>
  <w:abstractNum w:abstractNumId="40">
    <w:nsid w:val="3F6AB60F"/>
    <w:multiLevelType w:val="hybridMultilevel"/>
    <w:lvl w:ilvl="0">
      <w:lvlJc w:val="left"/>
      <w:lvlText w:val="(%1)"/>
      <w:numFmt w:val="decimal"/>
      <w:start w:val="10"/>
    </w:lvl>
  </w:abstractNum>
  <w:abstractNum w:abstractNumId="41">
    <w:nsid w:val="61574095"/>
    <w:multiLevelType w:val="hybridMultilevel"/>
    <w:lvl w:ilvl="0">
      <w:lvlJc w:val="left"/>
      <w:lvlText w:val="(%1)"/>
      <w:numFmt w:val="decimal"/>
      <w:start w:val="13"/>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decimal"/>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1)"/>
      <w:numFmt w:val="decimal"/>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6"/>
    </w:lvl>
  </w:abstractNum>
  <w:abstractNum w:abstractNumId="58">
    <w:nsid w:val="98A3148"/>
    <w:multiLevelType w:val="hybridMultilevel"/>
    <w:lvl w:ilvl="0">
      <w:lvlJc w:val="left"/>
      <w:lvlText w:val="(%1)"/>
      <w:numFmt w:val="decimal"/>
      <w:start w:val="6"/>
    </w:lvl>
  </w:abstractNum>
  <w:abstractNum w:abstractNumId="59">
    <w:nsid w:val="799D0247"/>
    <w:multiLevelType w:val="hybridMultilevel"/>
    <w:lvl w:ilvl="0">
      <w:lvlJc w:val="left"/>
      <w:lvlText w:val="(%1)"/>
      <w:numFmt w:val="decimal"/>
      <w:start w:val="1"/>
    </w:lvl>
  </w:abstractNum>
  <w:abstractNum w:abstractNumId="60">
    <w:nsid w:val="6B94764"/>
    <w:multiLevelType w:val="hybridMultilevel"/>
    <w:lvl w:ilvl="0">
      <w:lvlJc w:val="left"/>
      <w:lvlText w:val="(%1)"/>
      <w:numFmt w:val="decimal"/>
      <w:start w:val="7"/>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decimal"/>
      <w:start w:val="6"/>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1)"/>
      <w:numFmt w:val="decimal"/>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1)"/>
      <w:numFmt w:val="decimal"/>
      <w:start w:val="6"/>
    </w:lvl>
  </w:abstractNum>
  <w:abstractNum w:abstractNumId="67">
    <w:nsid w:val="7BD3EE7B"/>
    <w:multiLevelType w:val="hybridMultilevel"/>
    <w:lvl w:ilvl="0">
      <w:lvlJc w:val="left"/>
      <w:lvlText w:val="•"/>
      <w:numFmt w:val="bullet"/>
      <w:start w:val="1"/>
    </w:lvl>
    <w:lvl w:ilvl="1">
      <w:lvlJc w:val="left"/>
      <w:lvlText w:val="(%2)"/>
      <w:numFmt w:val="lowerRoman"/>
      <w:start w:val="2"/>
    </w:lvl>
  </w:abstractNum>
  <w:abstractNum w:abstractNumId="68">
    <w:nsid w:val="51D9C564"/>
    <w:multiLevelType w:val="hybridMultilevel"/>
    <w:lvl w:ilvl="0">
      <w:lvlJc w:val="left"/>
      <w:lvlText w:val="(%1)"/>
      <w:numFmt w:val="lowerRoman"/>
      <w:start w:val="1"/>
    </w:lvl>
  </w:abstractNum>
  <w:abstractNum w:abstractNumId="69">
    <w:nsid w:val="613EFDC5"/>
    <w:multiLevelType w:val="hybridMultilevel"/>
    <w:lvl w:ilvl="0">
      <w:lvlJc w:val="left"/>
      <w:lvlText w:val="%1."/>
      <w:numFmt w:val="decimal"/>
      <w:start w:val="1"/>
    </w:lvl>
    <w:lvl w:ilvl="1">
      <w:lvlJc w:val="left"/>
      <w:lvlText w:val="•"/>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1."/>
      <w:numFmt w:val="decimal"/>
      <w:start w:val="4"/>
    </w:lvl>
  </w:abstractNum>
  <w:abstractNum w:abstractNumId="72">
    <w:nsid w:val="42963E5A"/>
    <w:multiLevelType w:val="hybridMultilevel"/>
    <w:lvl w:ilvl="0">
      <w:lvlJc w:val="left"/>
      <w:lvlText w:val="+"/>
      <w:numFmt w:val="bullet"/>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5"/>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decimal"/>
      <w:start w:val="1"/>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lowerRoman"/>
      <w:start w:val="1"/>
    </w:lvl>
  </w:abstractNum>
  <w:abstractNum w:abstractNumId="80">
    <w:nsid w:val="6A5EE64"/>
    <w:multiLevelType w:val="hybridMultilevel"/>
    <w:lvl w:ilvl="0">
      <w:lvlJc w:val="left"/>
      <w:lvlText w:val="(%1)"/>
      <w:numFmt w:val="lowerRoman"/>
      <w:start w:val="9"/>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2024-04-05T16:08:49Z</dcterms:created>
  <dcterms:modified xsi:type="dcterms:W3CDTF">2024-04-05T16:08:49Z</dcterms:modified>
</cp:coreProperties>
</file>