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7,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Russell Burke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Life360,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1900 South Norfolk Street, Suite 310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Mateo, CA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Life360,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filed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29, 2024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000-56424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Russell Burke: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 and have the 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 w:right="3819" w:hanging="736"/>
        <w:spacing w:after="0" w:line="51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response to this letter, we may have additional comments. Form 10-K for the Fiscal Year Ended December 31, 2023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Distribution and marketing of, and access to, our products and services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depends...., page 17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In future filings,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 revising to disclose the material terms of your agreements with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each of your two major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Channel Partners that accounted for 69% of your total revenue in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2023, including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identity, term, and any termination provisions. In addition, file the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with these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partners as exhibits or tell us why they are not required to be filed.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Finally, to the extent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material, disclose the total number of Channel partners for each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 presented.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Consolidated Financial Statements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3. Segment and Geographic Revenue, page 94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In your disclosure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by geography, please revise future filings to disclose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attributed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country of domicile. Refer to ASC 280-10-50-1(a).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Russell Burke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LastNameRussell Burke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Life360,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</w:t>
        <w:tab/>
        <w:t>7, 2024NameLife360,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7,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2024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Security Ownership of Certain Beneficial Owners and Management, page 121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future filings, revise to provide the natural person(s) who have voting and dispositive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control over the shares owned by Paradice Investment Management Pty Ltd and Regal</w:t>
      </w:r>
    </w:p>
    <w:p>
      <w:pPr>
        <w:ind w:right="243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Funds Management Pty Limited, or tell us why it is not required. Form 8-K filed February 29, 2024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99.1, Media release of the Registrant dated February 29, 2024 (U.S.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Time)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presentation of non-GAAP financial measures under the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subheading of Key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Metrics. Please address the following: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refrain from referring to these non-GAAP measures as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Financial</w:t>
      </w:r>
    </w:p>
    <w:p>
      <w:pPr>
        <w:ind w:right="255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Metrics. Refer to Question 100.05 of Non-GAAP Financial Measures Compliance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700" w:hanging="218"/>
        <w:spacing w:after="0"/>
        <w:tabs>
          <w:tab w:leader="none" w:pos="170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Interpretations;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70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revise to include the directly comparable GAAP financial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 with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greater or equal prominence for each non-GAAP measure presented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table. Refer to Item 10(e)(1)(i)(A) of Regulation S-K and Question 102.10(a) of Non-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GAAP Financial Measures Compliance &amp; Disclosure Interpretations;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right="2439" w:firstLine="1685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an explanation of the usefulness of each of these non-GAAP financial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measures. Refer to Item 10(e)(1)(i)(C) of Regulation S-K;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239" w:firstLine="1685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Ensure you include a reconciliation from the GAAP financial measure to the non-</w:t>
      </w:r>
    </w:p>
    <w:p>
      <w:pPr>
        <w:ind w:right="265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GAAP financial measure for each of the non-GAAP financial measures presented,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non-GAAP U.S. subscription revenue, non-GAAP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international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subscription revenue, non-GAAP user acquisition and TV costs,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 other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Sales and Marketing, and non-GAAP commissions, as well as a GAAP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non-GAAP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reconciliation of each of the non-GAAP revenue measures presented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year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759" w:firstLine="1474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ended December 31, 2023. Refer to Item 10(e)(1)(i)(B) of Regulation S-K; and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2239" w:firstLine="1685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what consideration you gave to whether the non-GAAP hardware bundling</w:t>
      </w:r>
    </w:p>
    <w:p>
      <w:pPr>
        <w:ind w:right="24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adjustments have the effect of changing the recognition and measurement principles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required to be applied in accordance with GAAP, which would be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considered</w:t>
      </w:r>
    </w:p>
    <w:p>
      <w:pPr>
        <w:ind w:right="24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individually tailored and may cause the presentation of the non-GAAP measures to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misleading. Refer to Question 100.04 of Non-GAAP Financial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Measures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Compliance &amp; Disclosure Interpretations.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Russell Burke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LastNameRussell Burke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Life360,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</w:t>
        <w:tab/>
        <w:t>7, 2024NameLife360,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7,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2024 Page 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01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Melissa Walsh at 202-551-3224 or Stephen Krikorian at 202-551-3488 if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Aliya Ishmukhamedova at 202-551-7519 or Matthew Derby at 202-551-3334 with any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Natalie Karam</w:t>
      </w:r>
    </w:p>
    <w:sectPr>
      <w:pgSz w:w="11900" w:h="16838" w:orient="portrait"/>
      <w:cols w:equalWidth="0" w:num="1">
        <w:col w:w="10139"/>
      </w:cols>
      <w:pgMar w:left="320" w:top="110" w:right="1440" w:bottom="538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74B0DC51"/>
    <w:multiLevelType w:val="hybridMultilevel"/>
    <w:lvl w:ilvl="0">
      <w:lvlJc w:val="left"/>
      <w:lvlText w:val="&amp;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2024-07-01T23:20:09Z</dcterms:created>
  <dcterms:modified xsi:type="dcterms:W3CDTF">2024-07-01T23:20:09Z</dcterms:modified>
</cp:coreProperties>
</file>