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Life360,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000-56424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26-0197666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1900 South Norfolk Street, Suite 310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Mateo, CA 94403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484-5244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539 Bryant Street, Suite 402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Francisco, CA 94107</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None.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Life360, Inc. (the “Company”) is aware that Silicon Valley Bank (“SVB”) was closed on March 10, 2023 by the California Department of Financial Protection and Innovation, which appointed the Federal Deposit Insurance Corporation (“FDIC”) as receiver. On March 13, 2023 (Australian Eastern Time), the Company issued a press release disclosing its exposure to SVB, which the Company did not expect to result in any significant disruption to its operations. Following the Company’s initial press release, on March 12, 2023 (U.S. Eastern Time) the Department of the Treasury, the Board of Governors of the Federal Reserve System and the FDIC jointly issued a press release announcing that all depositors in SVB would be fully protected and would have access to all of their money starting March 13, 2023 (U.S. Eastern Time). Following this announcement, the Company issued an additional press release.</w:t>
      </w:r>
    </w:p>
    <w:p>
      <w:pPr>
        <w:spacing w:after="0" w:line="19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full text of the press releases issued in connection with the announcements are attached as Exhibits 99.1 and 99.2 to this Current Report on Form 8-K. In addition, a copy of each press releases is available on the Investor Relations section of the Company’s website at https://investors.life360.com/investor-relations/.</w:t>
      </w:r>
    </w:p>
    <w:p>
      <w:pPr>
        <w:spacing w:after="0" w:line="184"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The information in this Item 7.01 and Exhibit 99.1 is being furnished and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can be about future events, including statements regarding estimates regarding timing of the Company’s ability to recover its cash in deposit at SVB.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While due care has been used in the preparation of forecast information, actual results may vary in a materially positive or negative manner. Forward-looking statements are provided as a general guide only and should not be relied on as an indication or guarantee of future performance.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described in the Company’s ASX filings, Form 10 Registration Statement and subsequent reports filed with the Securities and Exchange Commission.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31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7980" w:type="dxa"/>
            <w:vAlign w:val="bottom"/>
            <w:gridSpan w:val="2"/>
          </w:tcPr>
          <w:p>
            <w:pPr>
              <w:spacing w:after="0"/>
              <w:rPr>
                <w:sz w:val="20"/>
                <w:szCs w:val="20"/>
                <w:color w:val="auto"/>
              </w:rPr>
            </w:pPr>
            <w:r>
              <w:rPr>
                <w:rFonts w:ascii="Arial" w:cs="Arial" w:eastAsia="Arial" w:hAnsi="Arial"/>
                <w:sz w:val="18"/>
                <w:szCs w:val="18"/>
                <w:color w:val="0000EE"/>
              </w:rPr>
              <w:t>Press Release, dated March 13, 2023 (Australian Eastern Time)</w:t>
            </w:r>
          </w:p>
        </w:tc>
      </w:tr>
      <w:tr>
        <w:trPr>
          <w:trHeight w:val="20"/>
        </w:trPr>
        <w:tc>
          <w:tcPr>
            <w:tcW w:w="146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99.2</w:t>
            </w:r>
          </w:p>
        </w:tc>
        <w:tc>
          <w:tcPr>
            <w:tcW w:w="7980" w:type="dxa"/>
            <w:vAlign w:val="bottom"/>
            <w:gridSpan w:val="2"/>
          </w:tcPr>
          <w:p>
            <w:pPr>
              <w:spacing w:after="0"/>
              <w:rPr>
                <w:sz w:val="20"/>
                <w:szCs w:val="20"/>
                <w:color w:val="auto"/>
              </w:rPr>
            </w:pPr>
            <w:r>
              <w:rPr>
                <w:rFonts w:ascii="Arial" w:cs="Arial" w:eastAsia="Arial" w:hAnsi="Arial"/>
                <w:sz w:val="18"/>
                <w:szCs w:val="18"/>
                <w:color w:val="0000EE"/>
              </w:rPr>
              <w:t>Press Release, dated March 13, 2023 (Australian Eastern Time)</w:t>
            </w:r>
          </w:p>
        </w:tc>
      </w:tr>
      <w:tr>
        <w:trPr>
          <w:trHeight w:val="20"/>
        </w:trPr>
        <w:tc>
          <w:tcPr>
            <w:tcW w:w="146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79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pacing w:after="0"/>
        <w:rPr>
          <w:sz w:val="20"/>
          <w:szCs w:val="20"/>
          <w:color w:val="auto"/>
        </w:rPr>
        <w:sectPr>
          <w:pgSz w:w="11900" w:h="16838" w:orient="portrait"/>
          <w:cols w:equalWidth="0" w:num="1">
            <w:col w:w="10019"/>
          </w:cols>
          <w:pgMar w:left="440" w:top="292"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Russell Burke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4" w:name="page5"/>
    <w:bookmarkEnd w:id="4"/>
    <w:p>
      <w:pPr>
        <w:ind w:left="10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186055</wp:posOffset>
            </wp:positionV>
            <wp:extent cx="1722755"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13 March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Life360 exposure expected to be up to $5.6 million, with no significant disruption to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San Francisco area-based Life360, Inc. (“Life360” or the “Company”) (ASX: 360) is evaluating the impact of Silicon Valley Bank (“SVB”) being closed on Friday, March 10, 2023 (U.S. Pacific time) by the California Department of Financial Protection and Innovation, which appointed the Federal Deposit Insurance Corporation (“FDIC”) as receiver. According to the FDIC, all insured depositors of SVB will have full access to their insured deposits no later than Monday, March 13, 2023 (U.S. Pacific time). The FDIC has stated that it will pay uninsured depositors an advance dividend, which will be a portion of the amount of uninsured deposits they have at SVB. Uninsured depositors are expected to receive a receivership certificate for the remaining amount of their uninsured funds. A receivership certificate entitles the holder to the remaining amount of their uninsured funds to be satisfied from (but only to the extent of available) proceeds from the liquidation of SVB’s assets in the form of additional dividends. As the FDIC sells the assets of SVB, future dividend payments may be made to uninsured depositors.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Life360 exposure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March 10, 2023, the Company had cash and cash equivalents of approximately $95.1 million, including $6.1 million in deposits with SVB, and $75.4 million in shares of money market mutual funds managed by Morgan Stanley, Blackrock and Western Asset, which are invested in short-term, AAA-rated U.S. Government Treasury and Government Agency securities. Although SVB acted as custodian of these accounts, the Company understands that these accounts were not co-mingled with SVB’s assets. As a result, the Company expects that the FDIC should act to liquidate the funds and disburse these amounts, or otherwise make the funds available, to the Company (subject to FDIC confirmation of customer ownership) in the near term, but timing has not been confirmed by the FDIC.</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addition, $13.3 million, representing most of Life360’s restricted cash, is held by PNC Bank as escrow funds related to the Tile acquisition. An additional $0.3 million is held in an operating account with the Bank of Montreal.</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remaining $6.1 million was held in several operating and collateral accounts with SVB as detailed in the table below and is therefore under the control of the FDIC. Across the three entities in the group, the Company expects to have access to approximately $0.5 million in the aggregate in FDIC-insured funds. The FDIC has stated that it expects to pay uninsured depositors an advance dividend. There remains considerable uncertainty as to the extent of these dividends and the overall eventual recovery of these funds, if any, will depend on the success of the FDIC in selling the assets of SVB.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result, management believes that its exposure to loss may be between zero and approximately $5.6 million.</w:t>
      </w:r>
    </w:p>
    <w:p>
      <w:pPr>
        <w:spacing w:after="0" w:line="21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Management currently expects there to be material updates as to the timing of release of funds prior to the opening of U.S. public markets tomorrow (Monday U.S. time). The Company will provide the market with an update as soon as any material further information comes to hand.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Life360’s cash components are set out in the table below:</w:t>
      </w:r>
    </w:p>
    <w:p>
      <w:pPr>
        <w:spacing w:after="0" w:line="171"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Life360, Inc. | ARBN 629 412 942 | 1900 South Norfolk St, Suite 310 San Mateo, CA 94403 | investors.life360.com</w:t>
      </w:r>
      <w:r>
        <w:rPr>
          <w:sz w:val="20"/>
          <w:szCs w:val="20"/>
          <w:color w:val="auto"/>
        </w:rPr>
        <w:tab/>
      </w: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all references to $ are to US$</w:t>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SVB</w:t>
            </w: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Treasury/Govt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Total Cash</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Legal Entity</w:t>
            </w: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money market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gridSpan w:val="2"/>
            <w:vMerge w:val="continue"/>
          </w:tcPr>
          <w:p>
            <w:pPr>
              <w:spacing w:after="0"/>
              <w:rPr>
                <w:sz w:val="12"/>
                <w:szCs w:val="12"/>
                <w:color w:val="auto"/>
              </w:rPr>
            </w:pPr>
          </w:p>
        </w:tc>
        <w:tc>
          <w:tcPr>
            <w:tcW w:w="314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Account type</w:t>
            </w:r>
          </w:p>
        </w:tc>
        <w:tc>
          <w:tcPr>
            <w:tcW w:w="110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6"/>
              </w:rPr>
              <w:t>Operating</w:t>
            </w:r>
          </w:p>
        </w:tc>
        <w:tc>
          <w:tcPr>
            <w:tcW w:w="150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accounts (SVB</w:t>
            </w:r>
          </w:p>
        </w:tc>
        <w:tc>
          <w:tcPr>
            <w:tcW w:w="114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and cash</w:t>
            </w:r>
          </w:p>
        </w:tc>
        <w:tc>
          <w:tcPr>
            <w:tcW w:w="0" w:type="dxa"/>
            <w:vAlign w:val="bottom"/>
          </w:tcPr>
          <w:p>
            <w:pPr>
              <w:spacing w:after="0"/>
              <w:rPr>
                <w:sz w:val="1"/>
                <w:szCs w:val="1"/>
                <w:color w:val="auto"/>
              </w:rPr>
            </w:pPr>
          </w:p>
        </w:tc>
      </w:tr>
      <w:tr>
        <w:trPr>
          <w:trHeight w:val="18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w:t>
            </w:r>
          </w:p>
        </w:tc>
        <w:tc>
          <w:tcPr>
            <w:tcW w:w="2940" w:type="dxa"/>
            <w:vAlign w:val="bottom"/>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Accounts</w:t>
            </w: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custodian only)</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Accounts</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equivalents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Life360, Inc</w:t>
            </w:r>
          </w:p>
        </w:tc>
        <w:tc>
          <w:tcPr>
            <w:tcW w:w="2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Operating</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Tile, Inc</w:t>
            </w:r>
          </w:p>
        </w:tc>
        <w:tc>
          <w:tcPr>
            <w:tcW w:w="314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Tile, Inc</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Tile, Inc</w:t>
            </w:r>
          </w:p>
        </w:tc>
        <w:tc>
          <w:tcPr>
            <w:tcW w:w="3140" w:type="dxa"/>
            <w:vAlign w:val="bottom"/>
            <w:gridSpan w:val="2"/>
          </w:tcPr>
          <w:p>
            <w:pPr>
              <w:spacing w:after="0"/>
              <w:rPr>
                <w:sz w:val="20"/>
                <w:szCs w:val="20"/>
                <w:color w:val="auto"/>
              </w:rPr>
            </w:pPr>
            <w:r>
              <w:rPr>
                <w:rFonts w:ascii="Arial" w:cs="Arial" w:eastAsia="Arial" w:hAnsi="Arial"/>
                <w:sz w:val="18"/>
                <w:szCs w:val="18"/>
                <w:color w:val="auto"/>
              </w:rPr>
              <w:t>GBP</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Tile, Inc</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Jiobit, Inc</w:t>
            </w:r>
          </w:p>
        </w:tc>
        <w:tc>
          <w:tcPr>
            <w:tcW w:w="314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Life360, Inc</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Escrow account at PNC Bank</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Tile Network Canada ULC</w:t>
            </w:r>
          </w:p>
        </w:tc>
        <w:tc>
          <w:tcPr>
            <w:tcW w:w="3140" w:type="dxa"/>
            <w:vAlign w:val="bottom"/>
            <w:gridSpan w:val="2"/>
          </w:tcPr>
          <w:p>
            <w:pPr>
              <w:spacing w:after="0"/>
              <w:rPr>
                <w:sz w:val="20"/>
                <w:szCs w:val="20"/>
                <w:color w:val="auto"/>
              </w:rPr>
            </w:pPr>
            <w:r>
              <w:rPr>
                <w:rFonts w:ascii="Arial" w:cs="Arial" w:eastAsia="Arial" w:hAnsi="Arial"/>
                <w:sz w:val="18"/>
                <w:szCs w:val="18"/>
                <w:color w:val="auto"/>
              </w:rPr>
              <w:t>Bank of Montreal</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6.1</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75.4</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13.6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95.1</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Insured accounts</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SVB Accounts at risk</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5.6</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Note: May not add due to rounding</w:t>
            </w: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20"/>
        <w:spacing w:after="0" w:line="342" w:lineRule="auto"/>
        <w:rPr>
          <w:sz w:val="20"/>
          <w:szCs w:val="20"/>
          <w:color w:val="auto"/>
        </w:rPr>
      </w:pPr>
      <w:r>
        <w:rPr>
          <w:rFonts w:ascii="Arial" w:cs="Arial" w:eastAsia="Arial" w:hAnsi="Arial"/>
          <w:sz w:val="16"/>
          <w:szCs w:val="16"/>
          <w:color w:val="auto"/>
        </w:rPr>
        <w:t>The SVB closure occurred at the peak of the Company’s monthly cash cycle and as a result the Company expects its cash position at the end of the first quarter to be in line with previous estimates (assuming normal operating cadence) in the range of $70-75 million, including restricted funds.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Notwithstanding the closure of SVB, the Company continues to believe that its existing cash and cash equivalents balance and cash flow from operations will be sufficient to meet its working capital, capital expenditures, and material cash requirements from known contractual obligations for the next twelve months.</w:t>
      </w:r>
    </w:p>
    <w:p>
      <w:pPr>
        <w:spacing w:after="0" w:line="184"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color w:val="auto"/>
        </w:rPr>
        <w:t xml:space="preserve">Other information issued in connection with developments related to our position with SVB will be available on our website located at </w:t>
      </w:r>
      <w:r>
        <w:rPr>
          <w:rFonts w:ascii="Arial" w:cs="Arial" w:eastAsia="Arial" w:hAnsi="Arial"/>
          <w:sz w:val="18"/>
          <w:szCs w:val="18"/>
          <w:u w:val="single" w:color="auto"/>
          <w:color w:val="auto"/>
        </w:rPr>
        <w:t>https://investors.life360.com/investor-relations/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Investor Conference Call with Chris Hulls (Co-Founder and CEO) and Russell Burke (CFO) will be held at 9.30am AEDT today, Monday 13 March, 2023 (Sunday 12 March 2023 US PT at 3.30pm). The call will be held as a Zoom audio webinar.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Participants wishing to ask a question should register and join via their browser </w:t>
      </w:r>
      <w:r>
        <w:rPr>
          <w:rFonts w:ascii="Arial" w:cs="Arial" w:eastAsia="Arial" w:hAnsi="Arial"/>
          <w:sz w:val="18"/>
          <w:szCs w:val="18"/>
          <w:b w:val="1"/>
          <w:bCs w:val="1"/>
          <w:color w:val="auto"/>
        </w:rPr>
        <w:t>here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Participants joining via telephone will be in a listen only mode.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 in details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Australia : +61 8 6119 3900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 +1 669 900 6833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countries : </w:t>
      </w:r>
      <w:r>
        <w:rPr>
          <w:rFonts w:ascii="Arial" w:cs="Arial" w:eastAsia="Arial" w:hAnsi="Arial"/>
          <w:sz w:val="18"/>
          <w:szCs w:val="18"/>
          <w:b w:val="1"/>
          <w:bCs w:val="1"/>
          <w:color w:val="auto"/>
        </w:rPr>
        <w:t>details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 ID : </w:t>
      </w:r>
      <w:r>
        <w:rPr>
          <w:rFonts w:ascii="Arial" w:cs="Arial" w:eastAsia="Arial" w:hAnsi="Arial"/>
          <w:sz w:val="18"/>
          <w:szCs w:val="18"/>
          <w:color w:val="auto"/>
        </w:rPr>
        <w:t>992 0209 9877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will be available after the call at https://investors.life360.com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 Hulls, Director, Co-Founder and Chief Executive Officer of Life360 authorized this announcement being given to ASX.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Life360</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47.0 million monthly active users (MAU) as of September 30, 2022, located in more than 150 countries. For more information, please visit life360.com.</w:t>
      </w:r>
    </w:p>
    <w:p>
      <w:pPr>
        <w:spacing w:after="0" w:line="103"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53" w:right="439" w:bottom="1440" w:gutter="0" w:footer="0" w:header="0"/>
        </w:sectPr>
      </w:pPr>
    </w:p>
    <w:bookmarkStart w:id="6" w:name="page7"/>
    <w:bookmarkEnd w:id="6"/>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w:t>
      </w:r>
    </w:p>
    <w:p>
      <w:pPr>
        <w:sectPr>
          <w:pgSz w:w="11900" w:h="16838" w:orient="portrait"/>
          <w:cols w:equalWidth="0" w:num="1">
            <w:col w:w="11020"/>
          </w:cols>
          <w:pgMar w:left="440" w:top="274"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For Australian investor enquiries: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Jolanta Masojada, +61 417 261 367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jmasojada@life360.com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U.S.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Investors@life360.com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For Australian media enquiries: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Giles Rafferty, +61 481 467 903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grafferty@firstadvisers.com.au</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 U.S.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press@life360.com</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announcement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can be about future events, including statements regarding estimates regarding the sufficiency of the Company’s cash and cash equivalents and cash flow from operations and the extent and timing of the Company’s ability to recover its cash in deposit at SVB.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While due care has been used in the preparation of forecast information, actual results may vary in a materially positive or negative manner. Forward-looking statements are provided as a general guide only and should not be relied on as an indication or guarantee of future performance.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described in the Company’s ASX filings, Form 10 Registration Statement and subsequent reports filed with the Securities and Exchange Commission.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337"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248920</wp:posOffset>
            </wp:positionV>
            <wp:extent cx="1722755"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13 March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update on Silicon Valley Bank</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 xml:space="preserve">San Francisco area-based Life360, Inc. (“Life360” or the “Company”) (ASX: 360) earlier today made an announcement to the market in relation to its exposure to Silicon Valley Bank (“SVB”). The Company notes the subsequent media release from the U.S. Federal Reserve Board available </w:t>
      </w:r>
      <w:r>
        <w:rPr>
          <w:rFonts w:ascii="Arial" w:cs="Arial" w:eastAsia="Arial" w:hAnsi="Arial"/>
          <w:sz w:val="18"/>
          <w:szCs w:val="18"/>
          <w:b w:val="1"/>
          <w:bCs w:val="1"/>
          <w:color w:val="auto"/>
        </w:rPr>
        <w:t>here</w:t>
      </w:r>
      <w:r>
        <w:rPr>
          <w:rFonts w:ascii="Arial" w:cs="Arial" w:eastAsia="Arial" w:hAnsi="Arial"/>
          <w:sz w:val="18"/>
          <w:szCs w:val="18"/>
          <w:color w:val="auto"/>
        </w:rPr>
        <w:t xml:space="preserve"> and U.S. Department of the Treasury </w:t>
      </w:r>
      <w:r>
        <w:rPr>
          <w:rFonts w:ascii="Arial" w:cs="Arial" w:eastAsia="Arial" w:hAnsi="Arial"/>
          <w:sz w:val="18"/>
          <w:szCs w:val="18"/>
          <w:b w:val="1"/>
          <w:bCs w:val="1"/>
          <w:color w:val="auto"/>
        </w:rPr>
        <w:t>here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Life360 will continue to update the market as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 Hulls, Director, Co-Founder and Chief Executive Officer of Life360 authorized this announcement being given to ASX.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Life360</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47.0 million monthly active users (MAU) as of September 30, 2022, located in more than 150 countries. For more information, please visit life360.com.</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w:t>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For Australian investor enquiries: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Jolanta Masojada, +61 417 261 367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jmasojada@life360.com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U.S.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Investors@life360.com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For Australian media enquiries: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Giles Rafferty, +61 481 467 903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grafferty@firstadvisers.com.au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U.S.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press@life360.com</w:t>
      </w:r>
    </w:p>
    <w:p>
      <w:pPr>
        <w:spacing w:after="0" w:line="200"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line="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8" w:lineRule="exact"/>
        <w:rPr>
          <w:sz w:val="20"/>
          <w:szCs w:val="20"/>
          <w:color w:val="auto"/>
        </w:rPr>
      </w:pPr>
    </w:p>
    <w:p>
      <w:pPr>
        <w:spacing w:after="0"/>
        <w:tabs>
          <w:tab w:leader="none" w:pos="10500" w:val="left"/>
        </w:tabs>
        <w:rPr>
          <w:sz w:val="20"/>
          <w:szCs w:val="20"/>
          <w:color w:val="auto"/>
        </w:rPr>
      </w:pPr>
      <w:r>
        <w:rPr>
          <w:rFonts w:ascii="Arial" w:cs="Arial" w:eastAsia="Arial" w:hAnsi="Arial"/>
          <w:sz w:val="16"/>
          <w:szCs w:val="16"/>
          <w:color w:val="auto"/>
        </w:rPr>
        <w:t>Life360, Inc. | ARBN 629 412 942 | 1900 South Norfolk St, Suite 310 San Mateo, CA 94403 | investors.life360.com</w:t>
      </w:r>
      <w:r>
        <w:rPr>
          <w:sz w:val="20"/>
          <w:szCs w:val="20"/>
          <w:color w:val="auto"/>
        </w:rPr>
        <w:tab/>
      </w:r>
      <w:r>
        <w:rPr>
          <w:rFonts w:ascii="Arial" w:cs="Arial" w:eastAsia="Arial" w:hAnsi="Arial"/>
          <w:sz w:val="15"/>
          <w:szCs w:val="15"/>
          <w:color w:val="auto"/>
        </w:rPr>
        <w:t>Page 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all references to $ are to US$</w:t>
      </w:r>
    </w:p>
    <w:p>
      <w:pPr>
        <w:sectPr>
          <w:pgSz w:w="11900" w:h="16838" w:orient="portrait"/>
          <w:cols w:equalWidth="0" w:num="1">
            <w:col w:w="11020"/>
          </w:cols>
          <w:pgMar w:left="440" w:top="121"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announcement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can be about future events, including statements regarding estimates regarding the sufficiency of the Company’s cash and cash equivalents and cash flow from operations and the extent and timing of the Company’s ability to recover its cash in deposit at SVB.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While due care has been used in the preparation of forecast information, actual results may vary in a materially positive or negative manner. Forward-looking statements are provided as a general guide only and should not be relied on as an indication or guarantee of future performance.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described in the Company’s ASX filings, Form 10 Registration Statement and subsequent reports filed with the Securities and Exchange Commission.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500" w:val="left"/>
        </w:tabs>
        <w:rPr>
          <w:sz w:val="20"/>
          <w:szCs w:val="20"/>
          <w:color w:val="auto"/>
        </w:rPr>
      </w:pPr>
      <w:r>
        <w:rPr>
          <w:rFonts w:ascii="Arial" w:cs="Arial" w:eastAsia="Arial" w:hAnsi="Arial"/>
          <w:sz w:val="16"/>
          <w:szCs w:val="16"/>
          <w:color w:val="auto"/>
        </w:rPr>
        <w:t>Life360, Inc. | ARBN 629 412 942 | 539 Bryant St, Suite 402, San Francisco, CA 94107 | investors.life360.com</w:t>
      </w:r>
      <w:r>
        <w:rPr>
          <w:sz w:val="20"/>
          <w:szCs w:val="20"/>
          <w:color w:val="auto"/>
        </w:rPr>
        <w:tab/>
      </w:r>
      <w:r>
        <w:rPr>
          <w:rFonts w:ascii="Arial" w:cs="Arial" w:eastAsia="Arial" w:hAnsi="Arial"/>
          <w:sz w:val="15"/>
          <w:szCs w:val="15"/>
          <w:color w:val="auto"/>
        </w:rPr>
        <w:t>Page 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2023-03-13T14:19:11Z</dcterms:created>
  <dcterms:modified xsi:type="dcterms:W3CDTF">2023-03-13T14:19:11Z</dcterms:modified>
</cp:coreProperties>
</file>