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980" w:type="dxa"/>
            <w:vAlign w:val="bottom"/>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Hulls Chris</w:t>
              </w:r>
            </w:hyperlink>
          </w:p>
        </w:tc>
        <w:tc>
          <w:tcPr>
            <w:tcW w:w="10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980" w:type="dxa"/>
            <w:vAlign w:val="bottom"/>
            <w:tcBorders>
              <w:bottom w:val="single" w:sz="8" w:color="0000EE"/>
            </w:tcBorders>
            <w:vMerge w:val="continue"/>
          </w:tcPr>
          <w:p>
            <w:pPr>
              <w:spacing w:after="0"/>
              <w:rPr>
                <w:sz w:val="5"/>
                <w:szCs w:val="5"/>
                <w:color w:val="auto"/>
              </w:rPr>
            </w:pPr>
          </w:p>
        </w:tc>
        <w:tc>
          <w:tcPr>
            <w:tcW w:w="10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26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640" w:type="dxa"/>
            <w:vAlign w:val="bottom"/>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03/08/2025</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2000" w:type="dxa"/>
            <w:vAlign w:val="bottom"/>
            <w:gridSpan w:val="2"/>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jc w:val="right"/>
              <w:ind w:right="100"/>
              <w:spacing w:after="0"/>
              <w:rPr>
                <w:sz w:val="20"/>
                <w:szCs w:val="20"/>
                <w:color w:val="auto"/>
              </w:rPr>
            </w:pPr>
            <w:r>
              <w:rPr>
                <w:rFonts w:ascii="Arial" w:cs="Arial" w:eastAsia="Arial" w:hAnsi="Arial"/>
                <w:sz w:val="12"/>
                <w:szCs w:val="12"/>
                <w:b w:val="1"/>
                <w:bCs w:val="1"/>
                <w:color w:val="auto"/>
                <w:w w:val="95"/>
              </w:rPr>
              <w:t>Price</w:t>
            </w:r>
          </w:p>
        </w:tc>
        <w:tc>
          <w:tcPr>
            <w:tcW w:w="1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03/08/2025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82,732</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center"/>
              <w:ind w:right="80"/>
              <w:spacing w:after="0"/>
              <w:rPr>
                <w:sz w:val="20"/>
                <w:szCs w:val="20"/>
                <w:color w:val="auto"/>
              </w:rPr>
            </w:pPr>
            <w:r>
              <w:rPr>
                <w:rFonts w:ascii="Times New Roman" w:cs="Times New Roman" w:eastAsia="Times New Roman" w:hAnsi="Times New Roman"/>
                <w:sz w:val="17"/>
                <w:szCs w:val="17"/>
                <w:color w:val="0000FF"/>
              </w:rPr>
              <w:t>1,026,661</w:t>
            </w:r>
            <w:r>
              <w:rPr>
                <w:rFonts w:ascii="Times New Roman" w:cs="Times New Roman" w:eastAsia="Times New Roman" w:hAnsi="Times New Roman"/>
                <w:sz w:val="22"/>
                <w:szCs w:val="22"/>
                <w:color w:val="008000"/>
                <w:vertAlign w:val="superscript"/>
              </w:rPr>
              <w:t>(2)(3)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7"/>
                <w:szCs w:val="17"/>
                <w:color w:val="0000FF"/>
              </w:rPr>
              <w:t>1,846</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ICCA</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Labs,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performance-based restricted stock units ("PRSUs") granted to the Reporting Person on May 29, 2024. In light of the performance-based vesting condition, this grant was not reportable under Section 16 until the performance metric was satisfied. On March 8, 2025, it was determined that the performance metric had been met. Each PRSU represents a contingent right to receive one share of the Issuer's common stock upon settlement. 25% of the PRSUs vested on February 15, 2025, with the remaining 75% converting to time-based RSUs and vesting in twelve equal quarterly installments thereafter, subject to the Reporting Person's continuous service through each vest date.</w:t>
      </w:r>
    </w:p>
    <w:p>
      <w:pPr>
        <w:spacing w:after="0" w:line="24" w:lineRule="exact"/>
        <w:rPr>
          <w:rFonts w:ascii="Times New Roman" w:cs="Times New Roman" w:eastAsia="Times New Roman" w:hAnsi="Times New Roman"/>
          <w:sz w:val="13"/>
          <w:szCs w:val="13"/>
          <w:color w:val="008000"/>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common stock and the number of shares of common stock underlying Chess Depositary Interests ("CDIs") as converted on a 1:3 common stock to CDI ratio. The CDIs are traded on the Australian Securities Exchange (the "ASX") and are held by CHESS Depositary Nominees Pty, Limited, a subsidiary of ASX Limited, the company that operates the ASX.</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128,407 restricted stock units previously granted, each of which represents a contingent right to receive one share of the Issuer's common stock upon vesting.</w:t>
      </w:r>
    </w:p>
    <w:p>
      <w:pPr>
        <w:spacing w:after="0" w:line="50"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member of ICCA Labs, LLC, an entity that holds an aggregate of 8,219 shares of the Issuer's common stock. The number of shares held as reported herein by the Reporting Person represents his proportionate ownership interest in ICCA Labs, LLC.</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Allison Chang</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03/11/2025</w:t>
            </w:r>
          </w:p>
        </w:tc>
      </w:tr>
      <w:tr>
        <w:trPr>
          <w:trHeight w:val="20"/>
        </w:trPr>
        <w:tc>
          <w:tcPr>
            <w:tcW w:w="12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2498"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2025-03-11T17:48:51Z</dcterms:created>
  <dcterms:modified xsi:type="dcterms:W3CDTF">2025-03-11T17:48:51Z</dcterms:modified>
</cp:coreProperties>
</file>