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001-42120</w:t>
      </w:r>
    </w:p>
    <w:p>
      <w:pPr>
        <w:pStyle w:val="TextBody"/>
        <w:bidi w:val="0"/>
        <w:spacing w:lineRule="auto" w:line="28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39" w:type="dxa"/>
        <w:jc w:val="left"/>
        <w:tblInd w:w="0" w:type="dxa"/>
        <w:tblLayout w:type="fixed"/>
        <w:tblCellMar>
          <w:top w:w="28" w:type="dxa"/>
          <w:left w:w="28" w:type="dxa"/>
          <w:bottom w:w="28" w:type="dxa"/>
          <w:right w:w="28" w:type="dxa"/>
        </w:tblCellMar>
      </w:tblPr>
      <w:tblGrid>
        <w:gridCol w:w="1226"/>
        <w:gridCol w:w="1076"/>
        <w:gridCol w:w="1088"/>
        <w:gridCol w:w="481"/>
        <w:gridCol w:w="481"/>
        <w:gridCol w:w="687"/>
      </w:tblGrid>
      <w:tr>
        <w:trPr/>
        <w:tc>
          <w:tcPr>
            <w:tcW w:w="122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94403</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(Address of principal executive office)</w:t>
            </w:r>
            <w:r>
              <w:rPr>
                <w:rFonts w:ascii="Times New Roman;serif" w:hAnsi="Times New Roman;serif"/>
                <w:b w:val="false"/>
                <w:color w:val="000000"/>
                <w:sz w:val="13"/>
              </w:rPr>
              <w:t>(1)</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rPr>
        <w:t>Tel: (</w:t>
      </w:r>
      <w:r>
        <w:rPr>
          <w:rFonts w:ascii="Times New Roman;serif" w:hAnsi="Times New Roman;serif"/>
          <w:b w:val="false"/>
          <w:color w:val="000000"/>
          <w:sz w:val="20"/>
        </w:rPr>
        <w:t>415</w:t>
      </w:r>
      <w:r>
        <w:rPr>
          <w:rFonts w:ascii="Times New Roman;serif" w:hAnsi="Times New Roman;serif"/>
          <w:b/>
          <w:color w:val="000000"/>
          <w:sz w:val="20"/>
        </w:rPr>
        <w:t xml:space="preserve">) </w:t>
      </w:r>
      <w:r>
        <w:rPr>
          <w:rFonts w:ascii="Times New Roman;serif" w:hAnsi="Times New Roman;serif"/>
          <w:b w:val="false"/>
          <w:color w:val="000000"/>
          <w:sz w:val="20"/>
        </w:rPr>
        <w:t>484-5244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May 5, 2026, the registrant had 81,031,691 shares of common stock, par value $0.001 per share, including shares underlying all issued and outstanding Chess Depositary Interests (“CDIs”), outstanding.</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are a Delaware corporation with a globally distributed workforce and no corporate headquarters. Under the Securities and Exchange Commission's rules, we are required to designate a “principal executive office.” For purposes of this report, we have designated our office in San Mateo, California as our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Life360,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10-Q for the Quarter Ended March 31, 2026</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6">
              <w:r>
                <w:rPr>
                  <w:rStyle w:val="InternetLink"/>
                  <w:rFonts w:ascii="Times New Roman;serif" w:hAnsi="Times New Roman;serif"/>
                  <w:b/>
                  <w:color w:val="0000FF"/>
                  <w:sz w:val="20"/>
                  <w:u w:val="single"/>
                </w:rPr>
                <w:t>Part I - Financial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9">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9">
              <w:r>
                <w:rPr>
                  <w:rStyle w:val="InternetLink"/>
                  <w:rFonts w:ascii="Times New Roman;serif" w:hAnsi="Times New Roman;serif"/>
                  <w:b w:val="false"/>
                  <w:color w:val="0000FF"/>
                  <w:sz w:val="20"/>
                  <w:u w:val="single"/>
                </w:rPr>
                <w:t>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9">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22">
              <w:r>
                <w:rPr>
                  <w:rStyle w:val="InternetLink"/>
                  <w:rFonts w:ascii="Times New Roman;serif" w:hAnsi="Times New Roman;serif"/>
                  <w:b w:val="false"/>
                  <w:color w:val="0000FF"/>
                  <w:sz w:val="20"/>
                  <w:u w:val="single"/>
                </w:rPr>
                <w:t>Condensed Consolidated Balance Sheets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22">
              <w:r>
                <w:rPr>
                  <w:rStyle w:val="InternetLink"/>
                  <w:rFonts w:ascii="Times New Roman;serif" w:hAnsi="Times New Roman;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25">
              <w:r>
                <w:rPr>
                  <w:rStyle w:val="InternetLink"/>
                  <w:rFonts w:ascii="Times New Roman;serif" w:hAnsi="Times New Roman;serif"/>
                  <w:b w:val="false"/>
                  <w:color w:val="0000FF"/>
                  <w:sz w:val="20"/>
                  <w:u w:val="single"/>
                </w:rPr>
                <w:t>Condensed Consolidated Statements of Operations and Comprehensive Income</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25">
              <w:r>
                <w:rPr>
                  <w:rStyle w:val="InternetLink"/>
                  <w:rFonts w:ascii="Times New Roman;serif" w:hAnsi="Times New Roman;serif"/>
                  <w:b w:val="false"/>
                  <w:strike w:val="false"/>
                  <w:dstrike w:val="false"/>
                  <w:color w:val="000000"/>
                  <w:sz w:val="20"/>
                  <w:u w:val="none"/>
                  <w:effect w:val="non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28">
              <w:r>
                <w:rPr>
                  <w:rStyle w:val="InternetLink"/>
                  <w:rFonts w:ascii="Times New Roman;serif" w:hAnsi="Times New Roman;serif"/>
                  <w:b w:val="false"/>
                  <w:color w:val="0000FF"/>
                  <w:sz w:val="20"/>
                  <w:u w:val="single"/>
                </w:rPr>
                <w:t>Condensed Consolidated Statements of Stockholders’ Equity</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28">
              <w:r>
                <w:rPr>
                  <w:rStyle w:val="InternetLink"/>
                  <w:rFonts w:ascii="Times New Roman;serif" w:hAnsi="Times New Roman;serif"/>
                  <w:b w:val="false"/>
                  <w:strike w:val="false"/>
                  <w:dstrike w:val="false"/>
                  <w:color w:val="000000"/>
                  <w:sz w:val="20"/>
                  <w:u w:val="none"/>
                  <w:effect w:val="none"/>
                </w:rPr>
                <w:t>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31">
              <w:r>
                <w:rPr>
                  <w:rStyle w:val="InternetLink"/>
                  <w:rFonts w:ascii="Times New Roman;serif" w:hAnsi="Times New Roman;serif"/>
                  <w:b w:val="false"/>
                  <w:color w:val="0000FF"/>
                  <w:sz w:val="20"/>
                  <w:u w:val="single"/>
                </w:rPr>
                <w:t>Condensed Consolidated Statements of Cash Flows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31">
              <w:r>
                <w:rPr>
                  <w:rStyle w:val="InternetLink"/>
                  <w:rFonts w:ascii="Times New Roman;serif" w:hAnsi="Times New Roman;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34">
              <w:r>
                <w:rPr>
                  <w:rStyle w:val="InternetLink"/>
                  <w:rFonts w:ascii="Times New Roman;serif" w:hAnsi="Times New Roman;serif"/>
                  <w:b w:val="false"/>
                  <w:color w:val="0000FF"/>
                  <w:sz w:val="20"/>
                  <w:u w:val="single"/>
                </w:rPr>
                <w:t>Notes to Condensed Consolidated 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34">
              <w:r>
                <w:rPr>
                  <w:rStyle w:val="InternetLink"/>
                  <w:rFonts w:ascii="Times New Roman;serif" w:hAnsi="Times New Roman;serif"/>
                  <w:b w:val="false"/>
                  <w:strike w:val="false"/>
                  <w:dstrike w:val="false"/>
                  <w:color w:val="000000"/>
                  <w:sz w:val="20"/>
                  <w:u w:val="none"/>
                  <w:effect w:val="none"/>
                </w:rPr>
                <w:t>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00">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00">
              <w:r>
                <w:rPr>
                  <w:rStyle w:val="InternetLink"/>
                  <w:rFonts w:ascii="Times New Roman;serif" w:hAnsi="Times New Roman;serif"/>
                  <w:b w:val="false"/>
                  <w:strike w:val="false"/>
                  <w:dstrike w:val="false"/>
                  <w:color w:val="000000"/>
                  <w:sz w:val="20"/>
                  <w:u w:val="none"/>
                  <w:effect w:val="none"/>
                </w:rPr>
                <w:t>29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30">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30">
              <w:r>
                <w:rPr>
                  <w:rStyle w:val="InternetLink"/>
                  <w:rFonts w:ascii="Times New Roman;serif" w:hAnsi="Times New Roman;serif"/>
                  <w:b w:val="false"/>
                  <w:color w:val="0000FF"/>
                  <w:sz w:val="20"/>
                  <w:u w:val="single"/>
                </w:rPr>
                <w:t>Quantitative and Qualitative Disclosures About Market Risk</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30">
              <w:r>
                <w:rPr>
                  <w:rStyle w:val="InternetLink"/>
                  <w:rFonts w:ascii="Times New Roman;serif" w:hAnsi="Times New Roman;serif"/>
                  <w:b w:val="false"/>
                  <w:strike w:val="false"/>
                  <w:dstrike w:val="false"/>
                  <w:color w:val="000000"/>
                  <w:sz w:val="20"/>
                  <w:u w:val="none"/>
                  <w:effect w:val="none"/>
                </w:rPr>
                <w:t>41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33">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33">
              <w:r>
                <w:rPr>
                  <w:rStyle w:val="InternetLink"/>
                  <w:rFonts w:ascii="Times New Roman;serif" w:hAnsi="Times New Roman;serif"/>
                  <w:b w:val="false"/>
                  <w:color w:val="0000FF"/>
                  <w:sz w:val="20"/>
                  <w:u w:val="single"/>
                </w:rPr>
                <w:t>Controls and Procedures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33">
              <w:r>
                <w:rPr>
                  <w:rStyle w:val="InternetLink"/>
                  <w:rFonts w:ascii="Times New Roman;serif" w:hAnsi="Times New Roman;serif"/>
                  <w:b w:val="false"/>
                  <w:strike w:val="false"/>
                  <w:dstrike w:val="false"/>
                  <w:color w:val="000000"/>
                  <w:sz w:val="20"/>
                  <w:u w:val="none"/>
                  <w:effect w:val="none"/>
                </w:rPr>
                <w:t>42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36">
              <w:r>
                <w:rPr>
                  <w:rStyle w:val="InternetLink"/>
                  <w:rFonts w:ascii="Times New Roman;serif" w:hAnsi="Times New Roman;serif"/>
                  <w:b/>
                  <w:color w:val="0000FF"/>
                  <w:sz w:val="20"/>
                  <w:u w:val="single"/>
                </w:rPr>
                <w:t>Part II - Other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39">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150414f3f9747199be2135f53b3692e_139">
              <w:r>
                <w:rPr>
                  <w:rStyle w:val="InternetLink"/>
                  <w:rFonts w:ascii="Times New Roman;serif" w:hAnsi="Times New Roman;serif"/>
                  <w:b w:val="false"/>
                  <w:color w:val="0000FF"/>
                  <w:sz w:val="20"/>
                  <w:u w:val="single"/>
                </w:rPr>
                <w:t>Legal Proceedings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39">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42">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42">
              <w:r>
                <w:rPr>
                  <w:rStyle w:val="InternetLink"/>
                  <w:rFonts w:ascii="Times New Roman;serif" w:hAnsi="Times New Roman;serif"/>
                  <w:b w:val="false"/>
                  <w:color w:val="0000FF"/>
                  <w:sz w:val="20"/>
                  <w:u w:val="single"/>
                </w:rPr>
                <w:t>Risk Factors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42">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69">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69">
              <w:r>
                <w:rPr>
                  <w:rStyle w:val="InternetLink"/>
                  <w:rFonts w:ascii="Times New Roman;serif" w:hAnsi="Times New Roman;serif"/>
                  <w:b w:val="false"/>
                  <w:color w:val="0000FF"/>
                  <w:sz w:val="20"/>
                  <w:u w:val="single"/>
                </w:rPr>
                <w:t>Unregistered Sales of Equity Securities and Use of Proceeds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69">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72">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72">
              <w:r>
                <w:rPr>
                  <w:rStyle w:val="InternetLink"/>
                  <w:rFonts w:ascii="Times New Roman;serif" w:hAnsi="Times New Roman;serif"/>
                  <w:b w:val="false"/>
                  <w:color w:val="0000FF"/>
                  <w:sz w:val="20"/>
                  <w:u w:val="single"/>
                </w:rPr>
                <w:t>Defaults Upon Senior Securities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72">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75">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75">
              <w:r>
                <w:rPr>
                  <w:rStyle w:val="InternetLink"/>
                  <w:rFonts w:ascii="Times New Roman;serif" w:hAnsi="Times New Roman;serif"/>
                  <w:b w:val="false"/>
                  <w:color w:val="0000FF"/>
                  <w:sz w:val="20"/>
                  <w:u w:val="single"/>
                </w:rPr>
                <w:t>Mine Safety Disclosures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75">
              <w:r>
                <w:rPr>
                  <w:rStyle w:val="InternetLink"/>
                  <w:rFonts w:ascii="Times New Roman;serif" w:hAnsi="Times New Roman;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78">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78">
              <w:r>
                <w:rPr>
                  <w:rStyle w:val="InternetLink"/>
                  <w:rFonts w:ascii="Times New Roman;serif" w:hAnsi="Times New Roman;serif"/>
                  <w:b w:val="false"/>
                  <w:color w:val="0000FF"/>
                  <w:sz w:val="20"/>
                  <w:u w:val="single"/>
                </w:rPr>
                <w:t>Other Information</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78">
              <w:r>
                <w:rPr>
                  <w:rStyle w:val="InternetLink"/>
                  <w:rFonts w:ascii="Times New Roman;serif" w:hAnsi="Times New Roman;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87">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87">
              <w:r>
                <w:rPr>
                  <w:rStyle w:val="InternetLink"/>
                  <w:rFonts w:ascii="Times New Roman;serif" w:hAnsi="Times New Roman;serif"/>
                  <w:b w:val="false"/>
                  <w:color w:val="0000FF"/>
                  <w:sz w:val="20"/>
                  <w:u w:val="single"/>
                </w:rPr>
                <w:t>Exhibits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87">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150414f3f9747199be2135f53b3692e_190">
              <w:r>
                <w:rPr>
                  <w:rStyle w:val="InternetLink"/>
                  <w:rFonts w:ascii="Times New Roman;serif" w:hAnsi="Times New Roman;serif"/>
                  <w:b w:val="false"/>
                  <w:color w:val="0000FF"/>
                  <w:sz w:val="20"/>
                  <w:u w:val="single"/>
                </w:rPr>
                <w:t>Signatures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150414f3f9747199be2135f53b3692e_190">
              <w:r>
                <w:rPr>
                  <w:rStyle w:val="InternetLink"/>
                  <w:rFonts w:ascii="Times New Roman;serif" w:hAnsi="Times New Roman;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bookmarkStart w:id="0" w:name="i68613504aaa84efc90349e778c171648_3653"/>
      <w:bookmarkEnd w:id="0"/>
      <w:r>
        <w:rPr>
          <w:rFonts w:ascii="Times New Roman;serif" w:hAnsi="Times New Roman;serif"/>
          <w:b/>
          <w:color w:val="000000"/>
          <w:sz w:val="20"/>
        </w:rPr>
        <w:t>FORWARD-LOOKING STATEMENTS</w:t>
      </w:r>
    </w:p>
    <w:p>
      <w:pPr>
        <w:pStyle w:val="TextBody"/>
        <w:bidi w:val="0"/>
        <w:spacing w:lineRule="auto" w:line="268" w:before="0" w:after="0"/>
        <w:ind w:left="0" w:right="0" w:firstLine="450"/>
        <w:jc w:val="both"/>
        <w:rPr/>
      </w:pPr>
      <w:r>
        <w:rPr>
          <w:rFonts w:ascii="Times New Roman;serif" w:hAnsi="Times New Roman;serif"/>
          <w:b w:val="false"/>
          <w:color w:val="000000"/>
          <w:sz w:val="20"/>
          <w:shd w:fill="FFFFFF" w:val="clear"/>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Securities Exchange Act of 1934, as amended (the “Exchange Act”). These forward-looking statements include statements regarding, among other things, (a) our expectations regarding our results of operations and key performance indicators, (b) key factors affecting our performance, (c) our growth strategy, (d) our future financing plans, (e) our anticipated needs for, and use of, working capital, (f) our expectations regarding investment in strategic initiatives, (g) our expectations regarding the effect of the capped call transactions entered into in connection with the pricing of our 0.00%</w:t>
      </w:r>
      <w:r>
        <w:rPr>
          <w:color w:val="000000"/>
        </w:rPr>
        <w:t xml:space="preserve"> </w:t>
      </w:r>
      <w:r>
        <w:rPr>
          <w:rFonts w:ascii="Times New Roman;serif" w:hAnsi="Times New Roman;serif"/>
          <w:b w:val="false"/>
          <w:color w:val="000000"/>
          <w:sz w:val="20"/>
          <w:shd w:fill="FFFFFF" w:val="clear"/>
        </w:rPr>
        <w:t xml:space="preserve">convertible senior notes due June 1, 2030, and (h) our ability to recover Monthly Active User (“MAU”) growth following the technical issues that affected user registration and onboarding, and the extent to which our remediation measures will fully restore prior user acquisition rates and the timing of any such recovery.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that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w:t>
      </w:r>
      <w:r>
        <w:rPr>
          <w:color w:val="000000"/>
        </w:rPr>
        <w:t>“</w:t>
      </w:r>
      <w:r>
        <w:rPr>
          <w:rFonts w:ascii="Times New Roman;serif" w:hAnsi="Times New Roman;serif"/>
          <w:b w:val="false"/>
          <w:color w:val="000000"/>
          <w:sz w:val="20"/>
        </w:rPr>
        <w:t>Risk Factors” under Part I, Item 1A of the Company’s Form 10-K for the year ended December 31, 2025, filed with the Securities and Exchange Commission (the “SEC”) on March 2, 2026 (“Annual Report”), as well as in other sections of this report, as such risks may be updated in subsequent filings with the SEC or the Australian Securities Exchange (“ASX”)</w:t>
      </w:r>
      <w:r>
        <w:rPr>
          <w:rFonts w:ascii="Times New Roman;serif" w:hAnsi="Times New Roman;serif"/>
          <w:b w:val="false"/>
          <w:color w:val="000000"/>
          <w:sz w:val="20"/>
          <w:shd w:fill="FFFFFF" w:val="clear"/>
        </w:rPr>
        <w:t>.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but not limited to, those discussed in </w:t>
      </w:r>
      <w:r>
        <w:rPr>
          <w:color w:val="000000"/>
        </w:rPr>
        <w:t>“</w:t>
      </w:r>
      <w:r>
        <w:rPr>
          <w:rFonts w:ascii="Times New Roman;serif" w:hAnsi="Times New Roman;serif"/>
          <w:b w:val="false"/>
          <w:color w:val="000000"/>
          <w:sz w:val="20"/>
        </w:rPr>
        <w:t>Risk Factors” under Part I, Item 1A in our Annual Report, and other sections in this Quarterly Report</w:t>
      </w:r>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64"/>
        <w:gridCol w:w="2266"/>
        <w:gridCol w:w="2260"/>
        <w:gridCol w:w="211"/>
        <w:gridCol w:w="976"/>
        <w:gridCol w:w="109"/>
        <w:gridCol w:w="109"/>
        <w:gridCol w:w="109"/>
        <w:gridCol w:w="109"/>
        <w:gridCol w:w="211"/>
        <w:gridCol w:w="826"/>
        <w:gridCol w:w="155"/>
      </w:tblGrid>
      <w:tr>
        <w:trPr/>
        <w:tc>
          <w:tcPr>
            <w:tcW w:w="286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 net</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 and other assets, noncurrent</w:t>
            </w:r>
            <w:r>
              <w:rPr>
                <w:rFonts w:ascii="Times New Roman;serif" w:hAnsi="Times New Roman;serif"/>
                <w:b w:val="false"/>
                <w:color w:val="000000"/>
                <w:sz w:val="13"/>
              </w:rPr>
              <w:t>(2)(3)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 current</w:t>
            </w: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 noncurrent</w:t>
            </w:r>
            <w:r>
              <w:rPr>
                <w:rFonts w:ascii="Times New Roman;serif" w:hAnsi="Times New Roman;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authorized as of March 31, 2026 and December 31, 2025, respectively; 80,688,123 and 79,359,589 issued and outstanding as of March 31,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959,688 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receivables of $29 and $3 as of March 31, 2026, and December 31, 2025, respectively.</w:t>
      </w:r>
    </w:p>
    <w:p>
      <w:pPr>
        <w:pStyle w:val="TextBody"/>
        <w:bidi w:val="0"/>
        <w:spacing w:lineRule="auto" w:line="288" w:before="120" w:after="283"/>
        <w:ind w:left="0" w:right="0" w:hanging="270"/>
        <w:jc w:val="both"/>
        <w:rPr/>
      </w:pPr>
      <w:r>
        <w:rPr>
          <w:rFonts w:ascii="Times New Roman;serif" w:hAnsi="Times New Roman;serif"/>
          <w:b w:val="false"/>
          <w:color w:val="000000"/>
          <w:sz w:val="16"/>
        </w:rPr>
        <w:t xml:space="preserve">(2) Includes </w:t>
      </w:r>
      <w:r>
        <w:rPr>
          <w:rFonts w:ascii="Times New Roman;serif" w:hAnsi="Times New Roman;serif"/>
          <w:b w:val="false"/>
          <w:color w:val="000000"/>
          <w:sz w:val="16"/>
          <w:shd w:fill="FFFFFF" w:val="clear"/>
        </w:rPr>
        <w:t>$20,876</w:t>
      </w:r>
      <w:r>
        <w:rPr>
          <w:color w:val="000000"/>
        </w:rPr>
        <w:t xml:space="preserve"> </w:t>
      </w:r>
      <w:r>
        <w:rPr>
          <w:rFonts w:ascii="Times New Roman;serif" w:hAnsi="Times New Roman;serif"/>
          <w:b w:val="false"/>
          <w:color w:val="000000"/>
          <w:sz w:val="16"/>
        </w:rPr>
        <w:t xml:space="preserve">and $24,726 measured using the fair value option as of March 31, 2026, and December 31, 2025, respectively, related to the Convertible Note Investment. Refer to Note 6, "Fair Value Measurements" for additional information. </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(3) Includes the $5,882 Related Party Investment and the $3,898 Related Party Warrant as of March 31, 2026, and December 31, 2025. Refer to Note 6, "Fair Value Measurements" and Note 14, "Related-Party Transactions" for additional information. </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related party deferred revenue, current of $780 as of March 31, 2026, and December 31, 2025.</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Includes related party deferred revenue, noncurrent of $2,047 and $2,242 as of March 31, 2026 and December 31, 2025, respectively.</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70"/>
        <w:gridCol w:w="2162"/>
        <w:gridCol w:w="2166"/>
        <w:gridCol w:w="219"/>
        <w:gridCol w:w="862"/>
        <w:gridCol w:w="109"/>
        <w:gridCol w:w="109"/>
        <w:gridCol w:w="109"/>
        <w:gridCol w:w="109"/>
        <w:gridCol w:w="244"/>
        <w:gridCol w:w="837"/>
        <w:gridCol w:w="109"/>
        <w:gridCol w:w="109"/>
        <w:gridCol w:w="109"/>
        <w:gridCol w:w="109"/>
        <w:gridCol w:w="109"/>
        <w:gridCol w:w="109"/>
        <w:gridCol w:w="155"/>
      </w:tblGrid>
      <w:tr>
        <w:trPr/>
        <w:tc>
          <w:tcPr>
            <w:tcW w:w="247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Subscription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Advertising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Other revenue</w:t>
            </w:r>
            <w:r>
              <w:rPr>
                <w:rFonts w:ascii="Times New Roman;serif" w:hAnsi="Times New Roman;serif"/>
                <w:b w:val="false"/>
                <w:color w:val="000000"/>
                <w:sz w:val="12"/>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subscription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Cost of hardware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on change in fair value of investment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per share, basic (Note 15)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per share, diluted (Note 15)</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used in computing net income per share, basic (Note 15)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80,148,997 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75,699,493 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used in computing net income per share, diluted (Note 15)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85,677,079 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83,445,337 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Comprehensive income </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comprehensive income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revenue of $224 and $292 for the three months ended March 31, 2026, and 2025, respectively.</w:t>
      </w:r>
    </w:p>
    <w:p>
      <w:pPr>
        <w:pStyle w:val="TextBody"/>
        <w:bidi w:val="0"/>
        <w:spacing w:lineRule="auto" w:line="288" w:before="2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5"/>
        <w:gridCol w:w="408"/>
        <w:gridCol w:w="410"/>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3"/>
        <w:gridCol w:w="109"/>
        <w:gridCol w:w="109"/>
        <w:gridCol w:w="109"/>
        <w:gridCol w:w="109"/>
        <w:gridCol w:w="384"/>
        <w:gridCol w:w="658"/>
        <w:gridCol w:w="200"/>
        <w:gridCol w:w="109"/>
        <w:gridCol w:w="109"/>
        <w:gridCol w:w="109"/>
        <w:gridCol w:w="211"/>
        <w:gridCol w:w="826"/>
        <w:gridCol w:w="158"/>
      </w:tblGrid>
      <w:tr>
        <w:trPr/>
        <w:tc>
          <w:tcPr>
            <w:tcW w:w="73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79,359,589 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80,688,123 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597,630 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5"/>
        <w:gridCol w:w="408"/>
        <w:gridCol w:w="410"/>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3"/>
        <w:gridCol w:w="109"/>
        <w:gridCol w:w="109"/>
        <w:gridCol w:w="109"/>
        <w:gridCol w:w="109"/>
        <w:gridCol w:w="384"/>
        <w:gridCol w:w="658"/>
        <w:gridCol w:w="200"/>
        <w:gridCol w:w="109"/>
        <w:gridCol w:w="109"/>
        <w:gridCol w:w="109"/>
        <w:gridCol w:w="211"/>
        <w:gridCol w:w="826"/>
        <w:gridCol w:w="158"/>
      </w:tblGrid>
      <w:tr>
        <w:trPr/>
        <w:tc>
          <w:tcPr>
            <w:tcW w:w="73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75,404,996 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76,418,660 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661,479 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769"/>
        <w:gridCol w:w="2377"/>
        <w:gridCol w:w="2393"/>
        <w:gridCol w:w="211"/>
        <w:gridCol w:w="826"/>
        <w:gridCol w:w="109"/>
        <w:gridCol w:w="109"/>
        <w:gridCol w:w="109"/>
        <w:gridCol w:w="109"/>
        <w:gridCol w:w="211"/>
        <w:gridCol w:w="826"/>
        <w:gridCol w:w="156"/>
      </w:tblGrid>
      <w:tr>
        <w:trPr/>
        <w:tc>
          <w:tcPr>
            <w:tcW w:w="276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capitalized to obtain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amounts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revenue from long-term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Indemnity escrow payment in connection with the acquisition of Fantix, Inc.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monetization of tariff refund claims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tax withholdings on restricted stock settlements and the exercise of stock options and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Beginning of the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tbl>
      <w:tblPr>
        <w:tblW w:w="9069" w:type="dxa"/>
        <w:jc w:val="left"/>
        <w:tblInd w:w="0" w:type="dxa"/>
        <w:tblLayout w:type="fixed"/>
        <w:tblCellMar>
          <w:top w:w="28" w:type="dxa"/>
          <w:left w:w="28" w:type="dxa"/>
          <w:bottom w:w="28" w:type="dxa"/>
          <w:right w:w="28" w:type="dxa"/>
        </w:tblCellMar>
      </w:tblPr>
      <w:tblGrid>
        <w:gridCol w:w="2575"/>
        <w:gridCol w:w="2263"/>
        <w:gridCol w:w="2272"/>
        <w:gridCol w:w="211"/>
        <w:gridCol w:w="541"/>
        <w:gridCol w:w="109"/>
        <w:gridCol w:w="109"/>
        <w:gridCol w:w="109"/>
        <w:gridCol w:w="109"/>
        <w:gridCol w:w="211"/>
        <w:gridCol w:w="406"/>
        <w:gridCol w:w="154"/>
      </w:tblGrid>
      <w:tr>
        <w:trPr/>
        <w:tc>
          <w:tcPr>
            <w:tcW w:w="257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received during the period for income taxes,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included in the measurement of operating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stock issued in connection with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incurred in connection with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within accrued expenses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in internally developed software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cash, cash equivalents, and restricted cash reported within the condensed consolidated statements of cash flows shown above:</w:t>
      </w:r>
    </w:p>
    <w:tbl>
      <w:tblPr>
        <w:tblW w:w="6953"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11"/>
        <w:gridCol w:w="82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 Nature of Business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Life360 mobile application, the Company also offers hardware tracking devices through the sale of Tile by Life360, Inc. (“Tile”) and Life360 Pet GPS products to keep members close to the people, pets, and things they care about most. 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generates advertising revenue through the placement of third-party advertisements on its platform and across third-party publisher networks through the Company's advertising technology platform, and other revenue through partnerships and the sale of aggregated, non-personally identifiable data for data insight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below are select significant accounting policies. Refer to Note 2, "Summary of Significant Accounting Policies" in the Company’s Annual Report for a full list of the Company’s significant accounting policies.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Basis of Presentation and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U.S., or (“GAAP”) for interim periods and following the requirements of the SEC for interim reporting. As permitted under those rules, certain footnotes or other financial information that are normally required by GAAP can be condensed or omitted. All inter-company transactions and balances have been eliminated upon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should be read in conjunction with the audited consolidated financial statements and notes thereto included in the Company’s Annual Report.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current period, the Company revised its presentation of Advertising revenue and Cost of advertising revenue in the condensed consolidated statements of operations and comprehensive income to provide more meaningful information to financial statement users. Previously, Advertising revenue was included within Other revenue and Cost of advertising revenue was included within Cost of other revenue. Comparative prior period amounts have been reclassified to conform to the current period presentation. The reclassification had no impact on net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revenue recognition policies as disclosed in its Annual Report on Form 10-K for the year ended December 31, 2025. Revenue recognition disclosures have been updated in line with the presentation of Advertising revenue in the condensed consolidated statements of operations and comprehensive income.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Advertising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Advertising revenue is generated from advertisers, advertising agencies, and platform partners through managed advertising arrangements, programmatic and open marketplace channels, and other advertising-related services. Advertisements are placed across both the Company’s own properties and third-party publisher networks. These offerings include audience targeting, advertising technology solutions, and related professional services, facilitated by the Company’s advertising technology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Managed advertising arrangements are direct sales of advertising inventory to advertisers and agencies, where the Company provides campaign management and optimization services. Programmatic and open marketplace channels refer to the automated buying and selling of advertising inventory through bidding on an auction platform. This includes exchange-based transactions where advertising inventory is made available to all buyers through both the Company's advertising platform and third-party advertising exchanges. Other advertising-related services include professional services, measurement and analytics solutions, platform access fees, and other services delivered through the Company's advertising technology platform.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advertising arrangements may include multiple promised services, which are evaluated to determine whether they represent distinct performance obligations, with revenue allocated to each distinct performance obligation based on its relative standalone selling price. Consideration is typically based on a per-impression or similar usage-based model, but may also include fixed fees or revenue-sharing arrangements. When arrangements involve third-party inventory or services, the Company evaluates whether it acts as the principal or agent in the transaction and reports revenue on a gross basis when it acts as the principal in the transaction, or on a net basis when it acts as an agent. Revenue from advertising arrangements, including variable consideration, is recognized in the period in which impressions are delivered or related services are performed.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other revenue consists of data and partnership revenue. Refer to the Company’s Annual Report on Form 10-K for the year ended December 31, 2025 for additional detail regarding the components and revenue recognition for data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Partnership revenue includes lead generation offerings and agreements with third parties that provide access to anonymized data insights on the Company’s mobile platform. Under these agreements, the Company may earn a percentage of the revenue generated from data insights. Revenue is recorded on a gross basis if the Company acts as the principal in the transaction, or a net basis if the Company acts as the agent. Variable consideration from partnership arrangements is recognized in the period in which the related services are delivered.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Advertising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includes cloud-based hosting costs supporting the Company’s advertising technology platform, amortization of acquired intangibles and internally-developed software, third-party data and content licensing costs, personnel-related costs, and allocated overhead, such as facilities, including rent and utilities, and shared information technology costs. For advertising revenue recognized on a gross basis, cost of advertising revenue includes traffic acquisition costs, which represent amounts paid to third-party publishers for advertising placements and inventory access. Personnel-related expenses include salaries, bonuses, benefits, and stock-based compensation for advertising operations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Cost of Other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other revenue includes cloud-based hosting costs as well as costs of product operations functions and personnel-related costs associated with the Company’s data platforms.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allowance for credit losses and product returns;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promotional and marketing allowances;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inventory valuation;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average useful customer life;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valuation of stock-based awards, including market-based restricted stock units (“MRSUs”);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achievement of performance-based restricted stock units (“PRSUs”);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legal contingencies;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impairment of long-lived assets and goodwill;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valuation of non-cash consideration, contingent consideration, investments, convertible notes, and embedded derivatives;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useful lives of long-lived assets;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income taxes including valuation allowances on deferred tax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bases its estimates and judgments on historical experience and on various assumptions that it believes are reasonable under the circumstances. Actual results could differ significantly from those estimates.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The ASU introduces a practical expedient for estimating expected credit losses on current accounts receivable and current contract assets arising from revenue transactions from contracts with customers. The updates in this ASU are effective for annual periods beginning after December 15, 2025, and interim periods within those annual periods. The Company adopted this ASU on January 1, 2026 on a prospective basis. The adoption of this ASU did not have a material impact on the Company’s consolidated financial statements or related disclosures.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Accounting pronouncements not yet adopted </w:t>
      </w:r>
    </w:p>
    <w:p>
      <w:pPr>
        <w:pStyle w:val="TextBody"/>
        <w:bidi w:val="0"/>
        <w:spacing w:lineRule="auto" w:line="288" w:before="12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ASU clarifies and reorganizes interim reporting guidance, including disclosure requirements related to events occurring since the end of the most recent annual reporting period, and improves the presentation and usability of interim financial statement disclosures. The ASU is effective for interim reporting periods within fiscal years beginning after December 15, 2027, with early adoption permitted. The Company is currently evaluating the impact of this ASU on its interim financial reporting and does not expect the adoption of this ASU to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The ASU narrows the scope of derivative accounting by excluding certain non-exchange-traded contracts whose terms are based on the normal operations or activities of one of the parties, and clarifies that share-based noncash consideration received from a customer in a revenue contract should be accounted for under ASC 606 until the right to the consideration becomes unconditional. The ASU is effective for annual periods beginning after December 15, 2026, and interim periods within those annual periods, with early adoption permitted. The Company does not expect the adoption of this ASU to have a material impact on its financial position or results of operations.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The ASU eliminates project stages and requires software cost capitalization to begin after management has authorized and committed to funding the software project and it is probable the project will be completed and used to perform the function intended. The ASU also requires additional property, plant and equipment disclosures for all capitalized software costs. The ASU is effective for annual periods beginning after December 15, 2027, and interim periods within those years, with early adoption permitted. The Company is currently evaluating the impact of this ASU on its consolidated financial statements and related disclosures. </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(Subtopic 220-40): Disaggregation of Income Statement Expenses</w:t>
      </w:r>
      <w:r>
        <w:rPr>
          <w:rFonts w:ascii="Times New Roman;serif" w:hAnsi="Times New Roman;serif"/>
          <w:b w:val="false"/>
          <w:color w:val="000000"/>
          <w:sz w:val="20"/>
        </w:rPr>
        <w:t>. The ASU requires the disclosure of 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Concentrations of Risk and Significant Customers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customers primarily consist of individual consumers, who subscribe to the Company’s product offerings through its third-party platforms (each a “Channel Partner”), advertising customers, data and partnership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the Company’s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accounts receivable from revenue earned from customers located in the U.S. and internationally. Channel and retail partners account for the majority of the Company’s revenue and accounts receivable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information about Channel Partners that processed revenue transactions and retail partners who accounted for more than 10% of revenue or accounts receivable, respectively:</w:t>
      </w:r>
    </w:p>
    <w:tbl>
      <w:tblPr>
        <w:tblW w:w="5068" w:type="dxa"/>
        <w:jc w:val="left"/>
        <w:tblInd w:w="0" w:type="dxa"/>
        <w:tblLayout w:type="fixed"/>
        <w:tblCellMar>
          <w:top w:w="28" w:type="dxa"/>
          <w:left w:w="28" w:type="dxa"/>
          <w:bottom w:w="28" w:type="dxa"/>
          <w:right w:w="28" w:type="dxa"/>
        </w:tblCellMar>
      </w:tblPr>
      <w:tblGrid>
        <w:gridCol w:w="794"/>
        <w:gridCol w:w="696"/>
        <w:gridCol w:w="699"/>
        <w:gridCol w:w="199"/>
        <w:gridCol w:w="199"/>
        <w:gridCol w:w="497"/>
        <w:gridCol w:w="199"/>
        <w:gridCol w:w="199"/>
        <w:gridCol w:w="199"/>
        <w:gridCol w:w="199"/>
        <w:gridCol w:w="199"/>
        <w:gridCol w:w="508"/>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Channel Partner (Google)</w:t>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86" w:type="dxa"/>
        <w:jc w:val="left"/>
        <w:tblInd w:w="0" w:type="dxa"/>
        <w:tblLayout w:type="fixed"/>
        <w:tblCellMar>
          <w:top w:w="28" w:type="dxa"/>
          <w:left w:w="28" w:type="dxa"/>
          <w:bottom w:w="28" w:type="dxa"/>
          <w:right w:w="28" w:type="dxa"/>
        </w:tblCellMar>
      </w:tblPr>
      <w:tblGrid>
        <w:gridCol w:w="794"/>
        <w:gridCol w:w="696"/>
        <w:gridCol w:w="699"/>
        <w:gridCol w:w="284"/>
        <w:gridCol w:w="284"/>
        <w:gridCol w:w="707"/>
        <w:gridCol w:w="254"/>
        <w:gridCol w:w="254"/>
        <w:gridCol w:w="254"/>
        <w:gridCol w:w="318"/>
        <w:gridCol w:w="318"/>
        <w:gridCol w:w="92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Gross Accounts Receivable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(Google)</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Partner A</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both"/>
        <w:rPr/>
      </w:pPr>
      <w:r>
        <w:rPr>
          <w:rFonts w:ascii="Times New Roman;serif" w:hAnsi="Times New Roman;serif"/>
          <w:b w:val="false"/>
          <w:i/>
          <w:color w:val="000000"/>
          <w:sz w:val="20"/>
        </w:rPr>
        <w:t>*    Represents less than 10%</w:t>
      </w:r>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 securities with remaining maturities at the date of purchase of three months or less to be cash equivalents. Cash and cash equivalents include deposit and money market funds. Money market funds are valued using quoted market prices and therefore are classified within Level 1 of the fair value hierarchy.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restricted cash, noncurrent balance of $1.7 million and $1.6 million as of March 31, 2026 and December 31, 2025, respectively, primarily relates to cash deposits restricted under letters of credit issued on behalf of the Company in support of indebtedness to trade creditors incurred in the ordinary course of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all marketable debt securities that have maturities at the time of purchase greater than three months as short-term investments. The appropriate classification is determined at the time of purchase and reevaluated at each balance sheet date. These securities have been classified as available-for-sale as they represent funds readily available for current operations, and the Company has the ability and intent to liquidate them at any time to meet its operating cash needs, if necessary. The Company’s available-for-sale securities are recorded at fair value each reporting period. The majority of the securities are valued using quoted prices of similar instruments and are thus classified within Level 2 of the fair value hierarchy. The Company reports the unrealized gains and losses, net of taxes, as a component of stockholders’ equity, except for the changes in allowance for expected credit losses, which are recorded in other income (expense), net on the condensed consolidated statements of operations and comprehensive income. The Company records accrued interest on these securities within prepaid expenses and other current assets on the condensed consolidated balance sheets. Realized gains and losses on sales of available-for-sale securities are determined using the specific identification method and are recognized in other income (expense), net, in the period of sale, with the related unrealized gain or loss reclassified from accumulated other comprehensive income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Segment and Geographic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condensed consolidated financial statements, that is regularly provided to the CODM. The allocation of resources and assessment of performance of the operating segment is based on consolidated net income and functional expenses as reported on our condensed consolidated statements of operations and comprehensive income. Because the Company operates as one operating segment, financial segment information, including expense and asset information, can be found in the condensed consolidated financial statements. All material long-lived assets are based in the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by geography is generally based on the address of the customer as defined in the contract with the customer. The following table sets forth revenue by geographic region for the periods presented (in thousands):</w:t>
      </w:r>
    </w:p>
    <w:tbl>
      <w:tblPr>
        <w:tblW w:w="5814" w:type="dxa"/>
        <w:jc w:val="left"/>
        <w:tblInd w:w="0" w:type="dxa"/>
        <w:tblLayout w:type="fixed"/>
        <w:tblCellMar>
          <w:top w:w="28" w:type="dxa"/>
          <w:left w:w="28" w:type="dxa"/>
          <w:bottom w:w="28" w:type="dxa"/>
          <w:right w:w="28" w:type="dxa"/>
        </w:tblCellMar>
      </w:tblPr>
      <w:tblGrid>
        <w:gridCol w:w="982"/>
        <w:gridCol w:w="863"/>
        <w:gridCol w:w="869"/>
        <w:gridCol w:w="211"/>
        <w:gridCol w:w="826"/>
        <w:gridCol w:w="109"/>
        <w:gridCol w:w="109"/>
        <w:gridCol w:w="109"/>
        <w:gridCol w:w="109"/>
        <w:gridCol w:w="211"/>
        <w:gridCol w:w="826"/>
        <w:gridCol w:w="109"/>
        <w:gridCol w:w="109"/>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in the U.S. were $121.3 million, or 85%, of total revenue for the three months ended March 31, 2026 and $89.3 million, or 86%, of total revenue for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Deferred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Deferred revenue consists primarily of payments received and accounts receivable recorded in advance of revenue recognition under the Company’s subscription service arrangements and is recognized as the revenue recognition criteria are met. The Company primarily invoices its customers for its subscription services arrangements in advance. Deferred revenue also includes balances related to future performance obligations for hardware, advertising, and other revenue. Amounts anticipated to be recognized within one year of the balance sheet date are recorded as deferred revenue, current and the remaining portion is recorded as deferred revenue, noncurrent on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revenue of $27.9 million that was included in the deferred revenue balance at December 31, 2025. During the three months ended March 31, 2025, the Company recognized revenue of $23.0 million that was included in the deferred revenue balance at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amount of contracted future revenue not yet recognized as the amounts relate to undelivered performance obligations, including both deferred revenue and non-cancellable contracted amounts that will be invoiced and recognized as revenue in future periods. Revenue expected to be recognized in connection with remaining performance obligations was $200.9 million as of March 31, 2026, of which the Company expects 52%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Short-Term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Short-term investments consist of marketable debt securities, which are comprised of U.S. Treasury securities. The Company classifies its short-term investments as available-for-sale. Available-for-sale investments are carried at fair value, with unrealized gains and losses reported as a component of accumulated other comprehensive income in the condensed consolidated balance sheets. Realized gains and losses are included in net income. The Company does not intend to sell, nor expects to be required to sell, these securities before recovery of their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March 2026, the Company deployed surplus cash into a managed portfolio of U.S. Treasury securities and U.S. government money market funds. U.S. Treasury securities with original maturities greater than three months and up to twelve months at the date of purchase are classified as short-term investments. U.S. Treasury securities with original maturities of less than three months at the date of purchase and U.S. government money market funds are classified as 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Company’s available-for-sale short-term investments consisted of the following (in thousands): </w:t>
      </w:r>
    </w:p>
    <w:tbl>
      <w:tblPr>
        <w:tblW w:w="8167" w:type="dxa"/>
        <w:jc w:val="left"/>
        <w:tblInd w:w="0" w:type="dxa"/>
        <w:tblLayout w:type="fixed"/>
        <w:tblCellMar>
          <w:top w:w="28" w:type="dxa"/>
          <w:left w:w="28" w:type="dxa"/>
          <w:bottom w:w="28" w:type="dxa"/>
          <w:right w:w="28" w:type="dxa"/>
        </w:tblCellMar>
      </w:tblPr>
      <w:tblGrid>
        <w:gridCol w:w="896"/>
        <w:gridCol w:w="788"/>
        <w:gridCol w:w="790"/>
        <w:gridCol w:w="211"/>
        <w:gridCol w:w="826"/>
        <w:gridCol w:w="109"/>
        <w:gridCol w:w="109"/>
        <w:gridCol w:w="109"/>
        <w:gridCol w:w="109"/>
        <w:gridCol w:w="211"/>
        <w:gridCol w:w="361"/>
        <w:gridCol w:w="109"/>
        <w:gridCol w:w="109"/>
        <w:gridCol w:w="109"/>
        <w:gridCol w:w="109"/>
        <w:gridCol w:w="211"/>
        <w:gridCol w:w="436"/>
        <w:gridCol w:w="109"/>
        <w:gridCol w:w="109"/>
        <w:gridCol w:w="109"/>
        <w:gridCol w:w="109"/>
        <w:gridCol w:w="377"/>
        <w:gridCol w:w="1477"/>
        <w:gridCol w:w="275"/>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all short-term investments had contractual maturities of less than one year. The Company did not record an allowance for credit losses on its available-for-sale investments during the three months ended March 31,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proceeds were recognized from the sale or maturity of available-for-sale investments during the three months ended March 31, 2026, and accordingly, no realized gains or losses were recognized.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interest income on short-term investments was $0.5 million as of March 31, 2026 and is included within prepaid expenses and other current assets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lineRule="auto" w:line="288" w:before="240" w:after="283"/>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Investment - Equity Securities</w:t>
      </w:r>
      <w:r>
        <w:rPr>
          <w:rFonts w:ascii="Times New Roman;serif" w:hAnsi="Times New Roman;serif"/>
          <w:b w:val="false"/>
          <w:color w:val="000000"/>
          <w:sz w:val="20"/>
        </w:rPr>
        <w:t>. Instruments are remeasured to fair value when observable price changes in orderly transactions for an identical or a similar investment of the same issuer occur.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three levels of inputs that may be used to measure fair value are as follows: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 – Valuations based on unobservable inputs to the valuation methodology and including data about assumptions market participants would use in pricing the asset or liability based on the best information available under the circumstances.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recorded carrying amounts of certain financial instruments, including cash and cash equivalents, prepaid expenses, accounts payable, and accounts receivable as of March 31, 2026 and December 31, 2025, approximate fair value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assets and liabilities at fair value on a recurring basis. The fair value of these assets and liabilities as of March 31, 2026 and December 31, 2025 are classified as follows (in thousands):</w:t>
      </w:r>
    </w:p>
    <w:tbl>
      <w:tblPr>
        <w:tblW w:w="7979" w:type="dxa"/>
        <w:jc w:val="left"/>
        <w:tblInd w:w="0" w:type="dxa"/>
        <w:tblLayout w:type="fixed"/>
        <w:tblCellMar>
          <w:top w:w="28" w:type="dxa"/>
          <w:left w:w="28" w:type="dxa"/>
          <w:bottom w:w="28" w:type="dxa"/>
          <w:right w:w="28" w:type="dxa"/>
        </w:tblCellMar>
      </w:tblPr>
      <w:tblGrid>
        <w:gridCol w:w="893"/>
        <w:gridCol w:w="785"/>
        <w:gridCol w:w="79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7560" w:type="dxa"/>
        <w:jc w:val="left"/>
        <w:tblInd w:w="0" w:type="dxa"/>
        <w:tblLayout w:type="fixed"/>
        <w:tblCellMar>
          <w:top w:w="28" w:type="dxa"/>
          <w:left w:w="28" w:type="dxa"/>
          <w:bottom w:w="28" w:type="dxa"/>
          <w:right w:w="28" w:type="dxa"/>
        </w:tblCellMar>
      </w:tblPr>
      <w:tblGrid>
        <w:gridCol w:w="894"/>
        <w:gridCol w:w="785"/>
        <w:gridCol w:w="796"/>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Level 3 instruments are as follows (in thousands):</w:t>
      </w:r>
    </w:p>
    <w:tbl>
      <w:tblPr>
        <w:tblW w:w="4994" w:type="dxa"/>
        <w:jc w:val="left"/>
        <w:tblInd w:w="0" w:type="dxa"/>
        <w:tblLayout w:type="fixed"/>
        <w:tblCellMar>
          <w:top w:w="28" w:type="dxa"/>
          <w:left w:w="28" w:type="dxa"/>
          <w:bottom w:w="28" w:type="dxa"/>
          <w:right w:w="28" w:type="dxa"/>
        </w:tblCellMar>
      </w:tblPr>
      <w:tblGrid>
        <w:gridCol w:w="999"/>
        <w:gridCol w:w="878"/>
        <w:gridCol w:w="882"/>
        <w:gridCol w:w="434"/>
        <w:gridCol w:w="1485"/>
        <w:gridCol w:w="31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Note Investment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beginning of the year</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Convertible Note Investment </w:t>
      </w:r>
    </w:p>
    <w:p>
      <w:pPr>
        <w:pStyle w:val="TextBody"/>
        <w:bidi w:val="0"/>
        <w:spacing w:lineRule="auto" w:line="288" w:before="120" w:after="283"/>
        <w:jc w:val="both"/>
        <w:rPr/>
      </w:pPr>
      <w:r>
        <w:rPr>
          <w:rFonts w:ascii="Times New Roman;serif" w:hAnsi="Times New Roman;serif"/>
          <w:b w:val="false"/>
          <w:color w:val="000000"/>
          <w:sz w:val="20"/>
        </w:rPr>
        <w:t xml:space="preserve">In May 2025, the Company entered into a series of transactions with Aura Consolidated Group, Inc. (“Aura”) including (i) a 3-year advertising partnership and revenue sharing agreement intended to expand the Company's advertising revenue and other revenue channels and subscription membership offerings, and (ii) a $25.0 million convertible note investment by the Company into Aura (“Convertible Note Investment”). The note bears zero interest and matures on May 12, 2030. The principal is due at maturity and includes both optional and mandatory conversion features, which may result in conversion into the issuer’s equity upon the occurrence of specific events, including financing events, change in control, or at maturity. The Company elected to apply the fair value option in accordance with ASC 825,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 xml:space="preserve">to account for the hybrid instrument as a single financial instrument. As a result, the entire instrument is measured at fair value, with changes in fair value recognized in the condensed consolidated statements of operations and comprehensive income within other income (expense). The Convertible Note Investment is included within prepaid expenses and other assets, noncurrent on the condensed consolidated balance sheet.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the Convertible Note Investment as Level 3 due to the absence of relevant observable inputs. The fair value of the Convertible Note Investment was estimated using a scenario-based, probability-weighted option pricing model. Significant assumptions include the discount rate as well as the timing and probability weighting of each settlement scenario.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Investment - Equity Securities</w:t>
      </w:r>
      <w:r>
        <w:rPr>
          <w:rFonts w:ascii="Times New Roman;serif" w:hAnsi="Times New Roman;serif"/>
          <w:b w:val="false"/>
          <w:color w:val="000000"/>
          <w:sz w:val="20"/>
        </w:rPr>
        <w:t xml:space="preserve">, which are included within prepaid expenses and other assets, noncurrent on the condensed consolidated balance sheet. Additionally, the Company measures and reports certain assets at fair value each reporting period. For additional information, refer to Note 8, "Balance Sheet Components". Instruments that are remeasured to fair value when observable price changes in orderly transactions for an identical or a similar investment of the same issuer occur are considered Level 2 investments.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Party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Investment is classified within Level 2 of the fair value hierarchy as the valuation is based on an observable price for identical shares that are not readily determinable. The Related Party Investment balance as of March 31, 2026, was $5.9 million and is included within prepaid expenses and other assets, noncurrent on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Business Combinations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Nativo, Inc.</w:t>
      </w:r>
    </w:p>
    <w:p>
      <w:pPr>
        <w:pStyle w:val="TextBody"/>
        <w:bidi w:val="0"/>
        <w:spacing w:lineRule="auto" w:line="288" w:before="120" w:after="283"/>
        <w:jc w:val="both"/>
        <w:rPr/>
      </w:pPr>
      <w:r>
        <w:rPr>
          <w:rFonts w:ascii="Times New Roman;serif" w:hAnsi="Times New Roman;serif"/>
          <w:b w:val="false"/>
          <w:color w:val="000000"/>
          <w:sz w:val="20"/>
        </w:rPr>
        <w:t xml:space="preserve">On November 9, 2025, the Company entered into an Agreement and Plan of Reorganization with Nativo, Inc. (“Nativo”) to acquire 100% of the outstanding equity interests of Nativo. Nativo is an advertising technology company that provides advertising serving, content distribution, and measurement solutions to publishers and advertisers. The acquisition accelerates and expands the Company’s advertising capabilities and monetization opportunities by leveraging Nativo's advertising technology and established publisher and advertiser relationships. The transaction closed on January 2, 2026, and has been accounted for as a business combination in accordance with ASC 805 -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The total consideration was $104.0 million, consisting of approximately $75.9 million in cash and $28.0 million in common stock, equivalent to 435,599 shares. The $75.9 million in cash consideration includes a $16.3 million indemnification holdback amount which is payable 24 months from the transaction close date upon satisfaction of certain obligations. The Company incurred transaction-related expenses of $3.8 million during the year ended December 31, 2025 and an immaterial amount during the three months ended March 31, 2026. These costs were recorded within General and administrative expenses in the condensed consolidated statements of operations and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acquisition date fair values of consideration transferred and net assets acquired (in thousands):</w:t>
      </w:r>
    </w:p>
    <w:tbl>
      <w:tblPr>
        <w:tblW w:w="5016" w:type="dxa"/>
        <w:jc w:val="left"/>
        <w:tblInd w:w="0" w:type="dxa"/>
        <w:tblLayout w:type="fixed"/>
        <w:tblCellMar>
          <w:top w:w="28" w:type="dxa"/>
          <w:left w:w="28" w:type="dxa"/>
          <w:bottom w:w="28" w:type="dxa"/>
          <w:right w:w="28" w:type="dxa"/>
        </w:tblCellMar>
      </w:tblPr>
      <w:tblGrid>
        <w:gridCol w:w="1386"/>
        <w:gridCol w:w="1217"/>
        <w:gridCol w:w="1222"/>
        <w:gridCol w:w="211"/>
        <w:gridCol w:w="82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Purchase consideration:</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purchase price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acquired and liabilities assumed: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has been allocated on a preliminary basis to the assets acquired, including intangible assets, and liabilities assumed based on their fair values as of the date of the acquisition, with the excess recorded to goodwill. The preliminary allocation may be subject to adjustment during the measurement period of up to 12 months from the date of acquisition including, but not limited to, intangible assets and income taxes. Any changes in the fair values of the assets acquired and liabilities assumed during the measurement period may result in adjustments to goodwill. Goodwill, which is not deductible for tax purposes, is primarily attributable to the value of expected synergies from the business combination, the assembled workforce, and growth opportunities.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$46.5 million of identified intangible assets recognized in connection with the acquisition are subject to amortization using the straight-line method over the following estimated useful lives:</w:t>
      </w:r>
    </w:p>
    <w:tbl>
      <w:tblPr>
        <w:tblW w:w="2924" w:type="dxa"/>
        <w:jc w:val="left"/>
        <w:tblInd w:w="0" w:type="dxa"/>
        <w:tblLayout w:type="fixed"/>
        <w:tblCellMar>
          <w:top w:w="28" w:type="dxa"/>
          <w:left w:w="28" w:type="dxa"/>
          <w:bottom w:w="28" w:type="dxa"/>
          <w:right w:w="28" w:type="dxa"/>
        </w:tblCellMar>
      </w:tblPr>
      <w:tblGrid>
        <w:gridCol w:w="719"/>
        <w:gridCol w:w="632"/>
        <w:gridCol w:w="644"/>
        <w:gridCol w:w="272"/>
        <w:gridCol w:w="272"/>
        <w:gridCol w:w="385"/>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deferred purchase price liability of $16.3 million represents the present value of the indemnification holdback amount of approximately $17.8 million, which is payable to the sellers 24 months following the acquisition close date upon satisfaction of certain obligations. The deferred purchase price liability was discounted to present value based on a market rate of interest commensurate with the 24 month payment term. This has been recorded in Other liabilities, noncurrent on the Company's condensed consolidated balance sheet.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not presented the pro forma results of operations for the acquisition as the impact is not material to the Company's condensed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711" w:type="dxa"/>
        <w:jc w:val="left"/>
        <w:tblInd w:w="0" w:type="dxa"/>
        <w:tblLayout w:type="fixed"/>
        <w:tblCellMar>
          <w:top w:w="28" w:type="dxa"/>
          <w:left w:w="28" w:type="dxa"/>
          <w:bottom w:w="28" w:type="dxa"/>
          <w:right w:w="28" w:type="dxa"/>
        </w:tblCellMar>
      </w:tblPr>
      <w:tblGrid>
        <w:gridCol w:w="924"/>
        <w:gridCol w:w="811"/>
        <w:gridCol w:w="815"/>
        <w:gridCol w:w="258"/>
        <w:gridCol w:w="883"/>
        <w:gridCol w:w="133"/>
        <w:gridCol w:w="109"/>
        <w:gridCol w:w="109"/>
        <w:gridCol w:w="109"/>
        <w:gridCol w:w="303"/>
        <w:gridCol w:w="1036"/>
        <w:gridCol w:w="22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is presented net of the allowance for credit losses, which represents management’s estimate of expected credit losses based on historical trends, current economic conditions, and other relevant factors as of March 31,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Included in accounts receivable, net are unbilled receivables, which are amounts that have not yet been invoiced to customers as of the balance sheet date, but are contractually owed to the Company. As of March 31, 2026 and December 31, 2025, unbilled receivables were $18.3 million and $10.3 million,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4556" w:type="dxa"/>
        <w:jc w:val="left"/>
        <w:tblInd w:w="0" w:type="dxa"/>
        <w:tblLayout w:type="fixed"/>
        <w:tblCellMar>
          <w:top w:w="28" w:type="dxa"/>
          <w:left w:w="28" w:type="dxa"/>
          <w:bottom w:w="28" w:type="dxa"/>
          <w:right w:w="28" w:type="dxa"/>
        </w:tblCellMar>
      </w:tblPr>
      <w:tblGrid>
        <w:gridCol w:w="505"/>
        <w:gridCol w:w="443"/>
        <w:gridCol w:w="447"/>
        <w:gridCol w:w="258"/>
        <w:gridCol w:w="883"/>
        <w:gridCol w:w="133"/>
        <w:gridCol w:w="109"/>
        <w:gridCol w:w="109"/>
        <w:gridCol w:w="109"/>
        <w:gridCol w:w="335"/>
        <w:gridCol w:w="980"/>
        <w:gridCol w:w="24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inventory write-offs recorded for the three months ended March 31, 2026 and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7091" w:type="dxa"/>
        <w:jc w:val="left"/>
        <w:tblInd w:w="0" w:type="dxa"/>
        <w:tblLayout w:type="fixed"/>
        <w:tblCellMar>
          <w:top w:w="28" w:type="dxa"/>
          <w:left w:w="28" w:type="dxa"/>
          <w:bottom w:w="28" w:type="dxa"/>
          <w:right w:w="28" w:type="dxa"/>
        </w:tblCellMar>
      </w:tblPr>
      <w:tblGrid>
        <w:gridCol w:w="1424"/>
        <w:gridCol w:w="1248"/>
        <w:gridCol w:w="1258"/>
        <w:gridCol w:w="258"/>
        <w:gridCol w:w="883"/>
        <w:gridCol w:w="133"/>
        <w:gridCol w:w="109"/>
        <w:gridCol w:w="109"/>
        <w:gridCol w:w="109"/>
        <w:gridCol w:w="303"/>
        <w:gridCol w:w="1036"/>
        <w:gridCol w:w="221"/>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 interest receivable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primarily consist of advance payments for certain cloud platform costs, information technology solutions, advertising, inventory, and insurance. Other receivables primarily consist of refunds owed to the Company and other amounts which the Company is expected to receive in less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325" w:type="dxa"/>
        <w:jc w:val="left"/>
        <w:tblInd w:w="0" w:type="dxa"/>
        <w:tblLayout w:type="fixed"/>
        <w:tblCellMar>
          <w:top w:w="28" w:type="dxa"/>
          <w:left w:w="28" w:type="dxa"/>
          <w:bottom w:w="28" w:type="dxa"/>
          <w:right w:w="28" w:type="dxa"/>
        </w:tblCellMar>
      </w:tblPr>
      <w:tblGrid>
        <w:gridCol w:w="1146"/>
        <w:gridCol w:w="1005"/>
        <w:gridCol w:w="1013"/>
        <w:gridCol w:w="287"/>
        <w:gridCol w:w="839"/>
        <w:gridCol w:w="148"/>
        <w:gridCol w:w="109"/>
        <w:gridCol w:w="109"/>
        <w:gridCol w:w="109"/>
        <w:gridCol w:w="335"/>
        <w:gridCol w:w="980"/>
        <w:gridCol w:w="245"/>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manufacturing equipment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$0.2 million and $0.1 million for the three months ended March 31,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impairment of property and equipment or long-lived assets recognized during the three months ended March 31, 2026 or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Prepaid Expenses and Other Assets, noncurrent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noncurrent consist of the following (in thousands):</w:t>
      </w:r>
    </w:p>
    <w:tbl>
      <w:tblPr>
        <w:tblW w:w="7450" w:type="dxa"/>
        <w:jc w:val="left"/>
        <w:tblInd w:w="0" w:type="dxa"/>
        <w:tblLayout w:type="fixed"/>
        <w:tblCellMar>
          <w:top w:w="28" w:type="dxa"/>
          <w:left w:w="28" w:type="dxa"/>
          <w:bottom w:w="28" w:type="dxa"/>
          <w:right w:w="28" w:type="dxa"/>
        </w:tblCellMar>
      </w:tblPr>
      <w:tblGrid>
        <w:gridCol w:w="1552"/>
        <w:gridCol w:w="1366"/>
        <w:gridCol w:w="1371"/>
        <w:gridCol w:w="258"/>
        <w:gridCol w:w="883"/>
        <w:gridCol w:w="133"/>
        <w:gridCol w:w="109"/>
        <w:gridCol w:w="109"/>
        <w:gridCol w:w="109"/>
        <w:gridCol w:w="303"/>
        <w:gridCol w:w="1036"/>
        <w:gridCol w:w="221"/>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noncurrent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Revenue Partner Warrant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Investment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Warrant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assets, noncurrent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Prepaid expenses, noncurrent primarily consist of cloud platform costs. As of March 31, 2026 and December 31, 2025, other assets consist of long-term investments, including the Convertible Note Investment, a warrant to purchase shares of preferred stock of a data partner (the “Data Revenue Partner Warrant”), the Related Party Investment, and a warrant to purchase shares of common stock of a Related Party (the “Related Party Warrant”). Refer to Note 6, "Fair Value Measurements" and Note 14, "Related-Party Transactions" for additional information.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under a non-cancellable operating lease with a remaining lease term of 0.7 years, which includes the option to extend the 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finance leases as of March 31, 2026 or December 31, 2025.</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 (in thousands):</w:t>
      </w:r>
    </w:p>
    <w:tbl>
      <w:tblPr>
        <w:tblW w:w="4841" w:type="dxa"/>
        <w:jc w:val="left"/>
        <w:tblInd w:w="0" w:type="dxa"/>
        <w:tblLayout w:type="fixed"/>
        <w:tblCellMar>
          <w:top w:w="28" w:type="dxa"/>
          <w:left w:w="28" w:type="dxa"/>
          <w:bottom w:w="28" w:type="dxa"/>
          <w:right w:w="28" w:type="dxa"/>
        </w:tblCellMar>
      </w:tblPr>
      <w:tblGrid>
        <w:gridCol w:w="711"/>
        <w:gridCol w:w="625"/>
        <w:gridCol w:w="629"/>
        <w:gridCol w:w="266"/>
        <w:gridCol w:w="589"/>
        <w:gridCol w:w="137"/>
        <w:gridCol w:w="137"/>
        <w:gridCol w:w="137"/>
        <w:gridCol w:w="137"/>
        <w:gridCol w:w="266"/>
        <w:gridCol w:w="589"/>
        <w:gridCol w:w="137"/>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Amounts include short-term leases, which are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605"/>
        <w:gridCol w:w="2253"/>
        <w:gridCol w:w="2267"/>
        <w:gridCol w:w="332"/>
        <w:gridCol w:w="735"/>
        <w:gridCol w:w="171"/>
        <w:gridCol w:w="109"/>
        <w:gridCol w:w="109"/>
        <w:gridCol w:w="109"/>
        <w:gridCol w:w="383"/>
        <w:gridCol w:w="846"/>
        <w:gridCol w:w="286"/>
      </w:tblGrid>
      <w:tr>
        <w:trPr/>
        <w:tc>
          <w:tcPr>
            <w:tcW w:w="260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(included in 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for operating lease (in years)</w:t>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discount rate used to measure the present value of the operating lease liabilities was 5.0% for each period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liability, which does not include short-term leases, as of March 31, 2026 were as follows (in thousands):</w:t>
      </w:r>
    </w:p>
    <w:tbl>
      <w:tblPr>
        <w:tblW w:w="4531" w:type="dxa"/>
        <w:jc w:val="left"/>
        <w:tblInd w:w="0" w:type="dxa"/>
        <w:tblLayout w:type="fixed"/>
        <w:tblCellMar>
          <w:top w:w="28" w:type="dxa"/>
          <w:left w:w="28" w:type="dxa"/>
          <w:bottom w:w="28" w:type="dxa"/>
          <w:right w:w="28" w:type="dxa"/>
        </w:tblCellMar>
      </w:tblPr>
      <w:tblGrid>
        <w:gridCol w:w="1151"/>
        <w:gridCol w:w="1011"/>
        <w:gridCol w:w="1018"/>
        <w:gridCol w:w="343"/>
        <w:gridCol w:w="757"/>
        <w:gridCol w:w="25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and Intangible Assets, net</w:t>
      </w:r>
    </w:p>
    <w:p>
      <w:pPr>
        <w:pStyle w:val="TextBody"/>
        <w:bidi w:val="0"/>
        <w:spacing w:lineRule="auto" w:line="288" w:before="120" w:after="283"/>
        <w:jc w:val="left"/>
        <w:rPr/>
      </w:pPr>
      <w:r>
        <w:rPr>
          <w:rFonts w:ascii="Times New Roman;serif" w:hAnsi="Times New Roman;serif"/>
          <w:b w:val="false"/>
          <w:color w:val="000000"/>
          <w:sz w:val="20"/>
          <w:shd w:fill="FFFFFF" w:val="clear"/>
        </w:rPr>
        <w:t>Intangible assets, net consists of the fol</w:t>
      </w:r>
      <w:r>
        <w:rPr>
          <w:rFonts w:ascii="Times New Roman;serif" w:hAnsi="Times New Roman;serif"/>
          <w:b w:val="false"/>
          <w:color w:val="000000"/>
          <w:sz w:val="20"/>
        </w:rPr>
        <w:t>lowing (in thousands):</w:t>
      </w:r>
    </w:p>
    <w:tbl>
      <w:tblPr>
        <w:tblW w:w="7490" w:type="dxa"/>
        <w:jc w:val="left"/>
        <w:tblInd w:w="0" w:type="dxa"/>
        <w:tblLayout w:type="fixed"/>
        <w:tblCellMar>
          <w:top w:w="28" w:type="dxa"/>
          <w:left w:w="28" w:type="dxa"/>
          <w:bottom w:w="28" w:type="dxa"/>
          <w:right w:w="28" w:type="dxa"/>
        </w:tblCellMar>
      </w:tblPr>
      <w:tblGrid>
        <w:gridCol w:w="913"/>
        <w:gridCol w:w="803"/>
        <w:gridCol w:w="818"/>
        <w:gridCol w:w="211"/>
        <w:gridCol w:w="826"/>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capitalized $2.1 million and $1.7 million, respectively, in internally developed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amortization expense was $5.2 million and $2.8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there was no impairment of intangible assets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estimated remaining amortization expense for intangible assets by fiscal year is as follows (in thousands):</w:t>
      </w:r>
    </w:p>
    <w:tbl>
      <w:tblPr>
        <w:tblW w:w="5061" w:type="dxa"/>
        <w:jc w:val="left"/>
        <w:tblInd w:w="0" w:type="dxa"/>
        <w:tblLayout w:type="fixed"/>
        <w:tblCellMar>
          <w:top w:w="28" w:type="dxa"/>
          <w:left w:w="28" w:type="dxa"/>
          <w:bottom w:w="28" w:type="dxa"/>
          <w:right w:w="28" w:type="dxa"/>
        </w:tblCellMar>
      </w:tblPr>
      <w:tblGrid>
        <w:gridCol w:w="1439"/>
        <w:gridCol w:w="1263"/>
        <w:gridCol w:w="1273"/>
        <w:gridCol w:w="211"/>
        <w:gridCol w:w="721"/>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useful lives of the Company’s acquired intangible assets, excluding internally developed software projects that were not yet in service, are as follows:</w:t>
      </w:r>
    </w:p>
    <w:tbl>
      <w:tblPr>
        <w:tblW w:w="6376" w:type="dxa"/>
        <w:jc w:val="left"/>
        <w:tblInd w:w="0" w:type="dxa"/>
        <w:tblLayout w:type="fixed"/>
        <w:tblCellMar>
          <w:top w:w="28" w:type="dxa"/>
          <w:left w:w="28" w:type="dxa"/>
          <w:bottom w:w="28" w:type="dxa"/>
          <w:right w:w="28" w:type="dxa"/>
        </w:tblCellMar>
      </w:tblPr>
      <w:tblGrid>
        <w:gridCol w:w="913"/>
        <w:gridCol w:w="803"/>
        <w:gridCol w:w="818"/>
        <w:gridCol w:w="425"/>
        <w:gridCol w:w="425"/>
        <w:gridCol w:w="425"/>
        <w:gridCol w:w="336"/>
        <w:gridCol w:w="336"/>
        <w:gridCol w:w="336"/>
        <w:gridCol w:w="456"/>
        <w:gridCol w:w="456"/>
        <w:gridCol w:w="647"/>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$3.3 million and $2.8 million of capitalized internally developed software projects that were not yet in service, respectively. These projects have been excluded from the weighted-average remaining useful life calculation for internally developed software in the table above.</w:t>
      </w:r>
    </w:p>
    <w:p>
      <w:pPr>
        <w:pStyle w:val="TextBody"/>
        <w:bidi w:val="0"/>
        <w:spacing w:lineRule="auto" w:line="288" w:before="240" w:after="283"/>
        <w:jc w:val="both"/>
        <w:rPr/>
      </w:pPr>
      <w:r>
        <w:rPr>
          <w:rFonts w:ascii="Times New Roman;serif" w:hAnsi="Times New Roman;serif"/>
          <w:b w:val="false"/>
          <w:color w:val="000000"/>
          <w:sz w:val="20"/>
        </w:rPr>
        <w:t>As of March 31, 2026 and December 31, 2025, goodwill was $173.6 million and $134.6 million, respectively. Goodwill increased $39.0 million in connection with the acquisition of Nativo. Refer to Note 7, "Business Combinations"</w:t>
      </w:r>
      <w:r>
        <w:rPr>
          <w:color w:val="000000"/>
        </w:rPr>
        <w:t xml:space="preserve"> </w:t>
      </w:r>
      <w:r>
        <w:rPr>
          <w:rFonts w:ascii="Times New Roman;serif" w:hAnsi="Times New Roman;serif"/>
          <w:b w:val="false"/>
          <w:color w:val="000000"/>
          <w:sz w:val="20"/>
        </w:rPr>
        <w:t>for additional information. No goodwill impairment was recorded during the three months ended March 31, 2026 or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7421" w:type="dxa"/>
        <w:jc w:val="left"/>
        <w:tblInd w:w="0" w:type="dxa"/>
        <w:tblLayout w:type="fixed"/>
        <w:tblCellMar>
          <w:top w:w="28" w:type="dxa"/>
          <w:left w:w="28" w:type="dxa"/>
          <w:bottom w:w="28" w:type="dxa"/>
          <w:right w:w="28" w:type="dxa"/>
        </w:tblCellMar>
      </w:tblPr>
      <w:tblGrid>
        <w:gridCol w:w="1543"/>
        <w:gridCol w:w="1353"/>
        <w:gridCol w:w="1364"/>
        <w:gridCol w:w="258"/>
        <w:gridCol w:w="883"/>
        <w:gridCol w:w="133"/>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promotions and discounts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other current liabilities primarily relate to inventory received but not yet billed and taxes payable. As of December 31, 2025, other current liabilities primarily relate to the Company’s deferred purchase price liability related to the Fantix, Inc. acquisition, inventory received but not yet billed, and taxes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Liabilities, noncurrent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 consist of the following (in thousands):</w:t>
      </w:r>
    </w:p>
    <w:tbl>
      <w:tblPr>
        <w:tblW w:w="6805" w:type="dxa"/>
        <w:jc w:val="left"/>
        <w:tblInd w:w="0" w:type="dxa"/>
        <w:tblLayout w:type="fixed"/>
        <w:tblCellMar>
          <w:top w:w="28" w:type="dxa"/>
          <w:left w:w="28" w:type="dxa"/>
          <w:bottom w:w="28" w:type="dxa"/>
          <w:right w:w="28" w:type="dxa"/>
        </w:tblCellMar>
      </w:tblPr>
      <w:tblGrid>
        <w:gridCol w:w="1320"/>
        <w:gridCol w:w="1161"/>
        <w:gridCol w:w="1163"/>
        <w:gridCol w:w="424"/>
        <w:gridCol w:w="424"/>
        <w:gridCol w:w="426"/>
        <w:gridCol w:w="109"/>
        <w:gridCol w:w="109"/>
        <w:gridCol w:w="109"/>
        <w:gridCol w:w="457"/>
        <w:gridCol w:w="457"/>
        <w:gridCol w:w="646"/>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Monetization of tariff refund claim liability</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purchase price liability</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other liabilities, noncurrent</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received $2.3 million in cash proceeds relating to the monetization of tariff refund claims. The Company recognized a corresponding liability for the cash received that will be satisfied upon the settlement of the refund agreement.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deferred purchase price liability was recorded in connection with the acquisition of Nativo at present value using a market rate of interest commensurate with the 24 month payment term, with the discount accreted to interest expense over the 24 month holdback period. As of March 31, 2026, the Company had recognized approximately $0.2 million of non-cash interest accretion within other income (expense), net in the condensed consolidated statements of operations and comprehensive income. Refer to Note 7, "Business Combinations" for additional information on the acquisition of Nativo.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 Convertible Notes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June 2025 Convertible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2025, the Company issued $320.0 million aggregate principal amount of 0.00% convertible senior notes due June 1, 2030. The June 2025 Convertible Notes are senior unsecured obligations and do not bear regular interest. Each $1,000 principal amount of the notes is initially convertible into 12.3501 shares of the Company’s common stock, which represents a conversion price of approximately $80.97 per share, subject to adjustment upon the occurrence of specified events. In certain circumstances, including conversions in connection with a make-whole fundamental change, the conversion rate may be increased, resulting in a conversion price as low as $61.11. However, the maximum number of shares issuable per $1,000 principal amount is capped at 16.3639, which is subject to the same adjustment provisions as the initial conversion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prior to the close of business on the business day immediately preceding March 1, 2030, only under the following circumstances: (1) during any fiscal quarter (and only during such quarter) beginning after September 30, 2025, if the closing price of the Company’s common stock for at least 20 trading days in any 30 consecutive trading day period ending on the last trading day of the prior fiscal quarter is greater than or equal to 130% of the then-applicable conversion price; (2) during the five business days immediately following any 10 consecutive trading day period in which the trading price per $1,000 principal amount of notes was less than 98% of the product of the closing price of the Company’s common stock and the conversion rate on each applicable trading day, following a request for such determination by a holder; (3) if the Company calls the notes for redemption, at any time prior to the close of business on the second scheduled trading day immediately preceding the redemption date; or (4) upon the occurrence of specified corporate events, such as certain mergers, reorganizations, or other changes of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on or after March 1, 2030, at any time prior to the close of business on the second scheduled trading day prior to the maturity date. Upon conversion, the Company will settle the principal portion of any June 2025 Convertible Notes in cash. Any amounts due on conversion over the principal portion may be settled, at the Company’s election, in cash, shares of common stock, or a combination thereof.</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June 2025 Convertible Notes prior to June 5, 2028. On or after that date, the Company may redeem all or a portion of the notes for cash if the closing price of the Company’s common stock has been at least 130% of the conversion price then in effect for at least 20 trading days (whether or not consecutive) during a 30 consecutive trading day period ending on the trading day immediately preceding the date on which the Company provides notice of redemption. The redemption price will equal the principal amount of the notes to be redeemed, plus any accrued and unpaid interest up to, but excluding,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which includes certain change-of-control transactions, a delisting of the Company’s common stock, or a liquidation event, holders may require the Company to repurchase up to 100% of their notes, plus accrued and unpaid special interest, if any, to, but excluding, the fundamental change repurchase date for cash.</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the June 2025 Convertible Notes entirely as a liability in accordance with ASC 470-20, </w:t>
      </w:r>
      <w:r>
        <w:rPr>
          <w:rFonts w:ascii="Times New Roman;serif" w:hAnsi="Times New Roman;serif"/>
          <w:b w:val="false"/>
          <w:i/>
          <w:color w:val="000000"/>
          <w:sz w:val="20"/>
        </w:rPr>
        <w:t>Debt with Conversion and Other Options,</w:t>
      </w:r>
      <w:r>
        <w:rPr>
          <w:color w:val="000000"/>
        </w:rPr>
        <w:t xml:space="preserve"> </w:t>
      </w:r>
      <w:r>
        <w:rPr>
          <w:rFonts w:ascii="Times New Roman;serif" w:hAnsi="Times New Roman;serif"/>
          <w:b w:val="false"/>
          <w:color w:val="000000"/>
          <w:sz w:val="20"/>
        </w:rPr>
        <w:t>as amended by ASU 2020-06. The embedded conversion feature is not separately accounted for as it does not require bifurcation under ASC 815,</w:t>
      </w:r>
      <w:r>
        <w:rPr>
          <w:color w:val="000000"/>
        </w:rPr>
        <w:t xml:space="preserve">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it is considered clearly and closely related to the host debt contract and does not meet the criteria for derivative accounting. The notes were issued at par and are recorded net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June 2025 Convertible Notes are classified as noncurrent as the conditions allowing holders of the notes to convert have not been met and the notes are not redeemable until June 5, 2028. The balance has been recorded within convertible notes, net, noncurrent on the Company’s condensed consolidated balance sheet.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June 2025 Convertible Notes consists of the following (in thousands):</w:t>
      </w:r>
    </w:p>
    <w:tbl>
      <w:tblPr>
        <w:tblW w:w="4080" w:type="dxa"/>
        <w:jc w:val="left"/>
        <w:tblInd w:w="0" w:type="dxa"/>
        <w:tblLayout w:type="fixed"/>
        <w:tblCellMar>
          <w:top w:w="28" w:type="dxa"/>
          <w:left w:w="28" w:type="dxa"/>
          <w:bottom w:w="28" w:type="dxa"/>
          <w:right w:w="28" w:type="dxa"/>
        </w:tblCellMar>
      </w:tblPr>
      <w:tblGrid>
        <w:gridCol w:w="999"/>
        <w:gridCol w:w="877"/>
        <w:gridCol w:w="884"/>
        <w:gridCol w:w="234"/>
        <w:gridCol w:w="916"/>
        <w:gridCol w:w="170"/>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310,930 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debt issuance costs are amortized to interest expense over the term of the June 2025 Convertible Notes using the effective interest rate method. The effective interest rate used to amortize the debt issuance costs is 0.68%. Interest expense recognized related to the June 2025 Convertible Notes was $0.5 million for the three months ended March 31, 2026. Interest expense is included within other income (expense), net on the condensed consolidated statements of operations and comprehensive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June 2025 Convertible Notes, which we classify as Level 2 financial instruments, was determined using observable market prices. As of March 31, 2026, the estimated fair value of the June 2025 Convertible Notes was $293.2 million.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June 2025 Capped Calls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pricing of the June 2025 Convertible Notes, the Company entered into privately-negotiated capped call transactions with certain dealer counterparties (the “June 2025 Capped Calls”). The June 2025 Capped Calls have an initial strike price of approximately $80.97 per share, which corresponds to the initial conversion price of the June 2025 Convertible Notes and is subject to certain adjustments. The June 2025 Capped Calls have a cap price of $122.22 per share, which is also subject to certain adjustments. The $33.7 million cost incurred in connection with the June 2025 Capped Calls was recorded as a reduction to Additional paid-in capital on the Company’s condensed consolidated balance sheet. This was partially offset by an $8.0 million increase to Additional paid-in capital related to the release of the associated valuation allowance in 2025. Conditions triggering adjustments to the initial strike price and the initial cap price of these capped calls are similar to those causing adjustments for the June 2025 Convertible Notes.</w:t>
      </w:r>
    </w:p>
    <w:p>
      <w:pPr>
        <w:pStyle w:val="TextBody"/>
        <w:bidi w:val="0"/>
        <w:spacing w:lineRule="auto" w:line="288" w:before="240" w:after="283"/>
        <w:jc w:val="both"/>
        <w:rPr/>
      </w:pPr>
      <w:r>
        <w:rPr>
          <w:rFonts w:ascii="Times New Roman;serif" w:hAnsi="Times New Roman;serif"/>
          <w:b w:val="false"/>
          <w:color w:val="000000"/>
          <w:sz w:val="20"/>
        </w:rPr>
        <w:t>The June 2025 Capped Calls are intended to reduce or offset potential dilution to our common stock upon any conversion of the June 2025 Convertible Notes, with this reduction or offset subject to the specified cap price. The June 2025 Capped Calls are separate transactions, and are not part of the terms of the June 2025 Convertible Notes. These transactions are classified as equity in accordance with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 they are (i) indexed to the Company’s own stock, (ii) settled in shares or permitted net-share settlement, and (iii) do not require net cash settlement. As such, the June 2025 Capped Calls have been recorded within stockholders’ equity and are not accounted for as derivatives.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contractual commitments with our cloud platform provider and contract manufacturer that are non-cancellable. As of March 31, 2026, future non-cancellable commitments under these arrangements were as follows (in thousands): </w:t>
      </w:r>
    </w:p>
    <w:tbl>
      <w:tblPr>
        <w:tblW w:w="3546" w:type="dxa"/>
        <w:jc w:val="left"/>
        <w:tblInd w:w="0" w:type="dxa"/>
        <w:tblLayout w:type="fixed"/>
        <w:tblCellMar>
          <w:top w:w="28" w:type="dxa"/>
          <w:left w:w="28" w:type="dxa"/>
          <w:bottom w:w="28" w:type="dxa"/>
          <w:right w:w="28" w:type="dxa"/>
        </w:tblCellMar>
      </w:tblPr>
      <w:tblGrid>
        <w:gridCol w:w="890"/>
        <w:gridCol w:w="782"/>
        <w:gridCol w:w="788"/>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date, the Company has not incurred significant costs and has not accrued any material liabilities in the accompanying condensed consolidated financial statements as a result of its indemnification obligations.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Litigation and Arbitration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Occasionally, the Company is involved in various legal proceedings, formal and informal dispute resolution processes, which may include arbitration or litigation, claims, and government investigations in the ordinary course of business. The outcome of litigation and other legal matters is inherently uncertain, though the Company intends to vigorously defend against any such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2023, plaintiffs Stephanie Ireland-Gordy and Shannon Ireland-Gordy filed a putative class action lawsuit against Tile, Life360, and Amazon.com, Inc. in the U.S. District Court for the Northern District of California (the “Court”), seeking damages as well as injunctive and declaratory relief. An amended complaint was filed on April 26, 2024, adding named plaintiffs Melissa Broad and Jane Doe. Plaintiffs allege that Tile trackers were used by third parties to monitor their movements without their consent, and assert product liability and other claims. On February 14, 2025, the Company filed a Motion to Dismiss. As of August 6, 2025, the Court granted the Company’s Motion to Dismiss the claims of the Ireland-Gordy plaintiffs with prejudice and the remaining plaintiffs' claims are stayed pending an appeal of the Court's ruling on the Company's Motion to Compel Arbitration, which was granted-in-part and denied-in-part. On March 3, 2026, the U.S. Court of Appeals for the Ninth Circuit ruled in the Company’s favor, reversing the district court’s partial denial of the Motion to Compel Arbitration and directing that all remaining claims be compelled to arbitration. Plaintiffs have until June 1, 2026 to file a petition for certiorari with the U.S. Supreme Court. At this time, a loss is not probable nor estimable, and as a result, no legal accrual has been recorded on the condensed consolidated balance sheets as of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claims and other threats of litigation from customers in the ordinary course of business. These claims are arbitrable and the Company accrues various costs for these claims including arbitration fees, legal fees and costs. At this time, a loss is not probable nor estimable from any such claims, and as a result, no legal accruals have been recorded on the condensed consolidated balance sheet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litigation reserve was recorded on the condensed consolidated balance sheets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potentially outstanding common stock reserved for issuance:</w:t>
      </w:r>
    </w:p>
    <w:tbl>
      <w:tblPr>
        <w:tblW w:w="9231" w:type="dxa"/>
        <w:jc w:val="left"/>
        <w:tblInd w:w="0" w:type="dxa"/>
        <w:tblLayout w:type="fixed"/>
        <w:tblCellMar>
          <w:top w:w="28" w:type="dxa"/>
          <w:left w:w="28" w:type="dxa"/>
          <w:bottom w:w="28" w:type="dxa"/>
          <w:right w:w="28" w:type="dxa"/>
        </w:tblCellMar>
      </w:tblPr>
      <w:tblGrid>
        <w:gridCol w:w="2055"/>
        <w:gridCol w:w="1804"/>
        <w:gridCol w:w="1811"/>
        <w:gridCol w:w="540"/>
        <w:gridCol w:w="541"/>
        <w:gridCol w:w="426"/>
        <w:gridCol w:w="109"/>
        <w:gridCol w:w="109"/>
        <w:gridCol w:w="109"/>
        <w:gridCol w:w="540"/>
        <w:gridCol w:w="541"/>
        <w:gridCol w:w="646"/>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3,749,332 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4,108,029 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4,298,551 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4,294,367 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18,549,003 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15,118,992 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26,596,886 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23,521,388 </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12. Equity Incentive Plan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equity incentive plan allows the Company to grant restricted stock units (“RSUs”), which includes time-based, performance-based, and market-based restricted stock units, restricted stock, as well as stock options to employees and consultants of the Company and any of the Company’s parent, subsidiaries, or affiliates, and to the members of the Board of Directors.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Time-based restricted stock units (“TRSUs”) generally vest based on continued service over a specified period, which is typically four years. Each TRSU represents the right to receive one share of common stock upon vesting. The fair value of TRSUs is determined based on the closing price of the Company’s common stock on the date of grant. Stock-based compensation expense for these awards is recognized on a straight-line basis over the requisite service period and is offset by actual forfeitures as they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PRSUs are granted primarily to executive officers and, in limited cases, to certain other senior-level employees. Vesting is based on continued service and the attainment of certain financial performance metrics, including revenue and Adjusted Earnings Before Interest, Taxes, Depreciation and Amortization targets, over a one-year performance period, as established and approved by the Board of Directors. The number of shares issued upon vesting may be greater or lesser than the target award amount depending on actual performance, and shares attained above target will be recognized as awards granted in the period earned.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grant any new PRSUs during the three months ended March 31, 2026. Outstanding PRSUs continue to vest based on related performance and service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Market-Based Restricted Stock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MRSUs are granted to certain executive officers. Vesting is based on continued service and the Company’s total shareholder return during one-year, two-year, and three-year performance periods as measured relative to the group of companies comprising the S&amp;P Software and Services Index. The number of shares issued upon vesting may vary from the target award amount depending on actual performance, and shares attained over the target will be recognized as awards granted in the period earned.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grant any new MRSUs during the three months ended March 31, 2026. Outstanding MRSUs continue to vest based on relative total shareholder return (“TSR”) performance and service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RSUs, including TRSUs, PRSUs, and MRSUs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RSU activity for the period presented is as follows:</w:t>
      </w:r>
    </w:p>
    <w:tbl>
      <w:tblPr>
        <w:tblW w:w="5809" w:type="dxa"/>
        <w:jc w:val="left"/>
        <w:tblInd w:w="0" w:type="dxa"/>
        <w:tblLayout w:type="fixed"/>
        <w:tblCellMar>
          <w:top w:w="28" w:type="dxa"/>
          <w:left w:w="28" w:type="dxa"/>
          <w:bottom w:w="28" w:type="dxa"/>
          <w:right w:w="28" w:type="dxa"/>
        </w:tblCellMar>
      </w:tblPr>
      <w:tblGrid>
        <w:gridCol w:w="1021"/>
        <w:gridCol w:w="896"/>
        <w:gridCol w:w="902"/>
        <w:gridCol w:w="488"/>
        <w:gridCol w:w="488"/>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4,294,367 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733,375 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(545,286)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cancelled/forfeited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4,298,551 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total unrecognized stock-based compensation expense for outstanding RSUs of $146.8 million to be recognized over a period of approximately 2.9 years. This amount is comprised of unrecognized compensation expense of $136.0 million related to outstanding TRSUs, $5.8 million related to outstanding PRSUs, and $5.0 million related to outstanding MRSUs.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RSUs vested and settled includes shares of common stock that the Company withheld on behalf of employees to satisfy the minimum statutory tax withholding requirements.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summary of stock option activity for the periods presented is as follows (in thousands, except share and per share data):</w:t>
      </w:r>
    </w:p>
    <w:tbl>
      <w:tblPr>
        <w:tblW w:w="9084" w:type="dxa"/>
        <w:jc w:val="left"/>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4,108,029 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(358,697)</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3,749,332 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132,122 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3,744,483 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unrecognized stock-based compensation expense for outstanding stock options was immaterial and expected to be recognized over a period of approximately 0.1 years.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as follows (in thousands):</w:t>
      </w:r>
    </w:p>
    <w:tbl>
      <w:tblPr>
        <w:tblW w:w="8560" w:type="dxa"/>
        <w:jc w:val="left"/>
        <w:tblInd w:w="0" w:type="dxa"/>
        <w:tblLayout w:type="fixed"/>
        <w:tblCellMar>
          <w:top w:w="28" w:type="dxa"/>
          <w:left w:w="28" w:type="dxa"/>
          <w:bottom w:w="28" w:type="dxa"/>
          <w:right w:w="28" w:type="dxa"/>
        </w:tblCellMar>
      </w:tblPr>
      <w:tblGrid>
        <w:gridCol w:w="2060"/>
        <w:gridCol w:w="1806"/>
        <w:gridCol w:w="1818"/>
        <w:gridCol w:w="219"/>
        <w:gridCol w:w="751"/>
        <w:gridCol w:w="113"/>
        <w:gridCol w:w="113"/>
        <w:gridCol w:w="113"/>
        <w:gridCol w:w="113"/>
        <w:gridCol w:w="219"/>
        <w:gridCol w:w="641"/>
        <w:gridCol w:w="113"/>
        <w:gridCol w:w="109"/>
        <w:gridCol w:w="109"/>
        <w:gridCol w:w="109"/>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amounts capitalized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$0.5 million and $0.3 million of capitalized stock-based compensation expense recognized during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13. Income Taxes </w:t>
      </w:r>
    </w:p>
    <w:p>
      <w:pPr>
        <w:pStyle w:val="TextBody"/>
        <w:bidi w:val="0"/>
        <w:spacing w:lineRule="auto" w:line="288" w:before="120" w:after="283"/>
        <w:jc w:val="both"/>
        <w:rPr/>
      </w:pPr>
      <w:r>
        <w:rPr>
          <w:rFonts w:ascii="Times New Roman;serif" w:hAnsi="Times New Roman;serif"/>
          <w:b w:val="false"/>
          <w:color w:val="000000"/>
          <w:sz w:val="20"/>
        </w:rPr>
        <w:t xml:space="preserve">The provision for income taxes for interim quarterly reporting periods is based on the Company's estimates of the effective tax rates for the full fiscal year, in accordance with ASC 740-270, </w:t>
      </w:r>
      <w:r>
        <w:rPr>
          <w:rFonts w:ascii="Times New Roman;serif" w:hAnsi="Times New Roman;serif"/>
          <w:b w:val="false"/>
          <w:i/>
          <w:color w:val="000000"/>
          <w:sz w:val="20"/>
        </w:rPr>
        <w:t>Income Taxes, Interim Reporting</w:t>
      </w:r>
      <w:r>
        <w:rPr>
          <w:rFonts w:ascii="Times New Roman;serif" w:hAnsi="Times New Roman;serif"/>
          <w:b w:val="false"/>
          <w:color w:val="000000"/>
          <w:sz w:val="20"/>
        </w:rPr>
        <w:t xml:space="preserve">. ASC 740-270-25-2 requires that an annual effective tax rate be determined and such annual effective rate be applied to year to 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positions, if any, and changes in or the interpretation of tax laws in jurisdictions where the Company conducts business.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 recorded a benefit from income taxes of $11.7 million and $0.2 million, respectively, net of discrete tax benefit primarily related to stock-based compensation.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excluding unusual or infrequently occurring discrete items, for the reporting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effective tax rate differs from the U.S. federal statutory rate primarily due to executive compensation and other non-deductible expenses offset by tax credits as well as discrete tax benefits recognized in the quarter, which were primarily related to excess tax benefits for stock-based compensation. For the three months ended March 31, 2025, the effective tax rate differs from the U.S. federal statutory rate primarily due to the full valuation allowance on the U.S. and state deferred tax assets. The Company released its valuation allowance at the end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Related-Party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Hubble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the Company entered into a strategic partnership and series of transactions with Hubble Network, Inc. (“Hubble”), including (i) a technology exclusivity and revenue share agreement (“Hubble Agreement”); (ii) a Hubble SAFE investment (“Related Party SAFE”); and (iii) Hubble’s issuance of a warrant to purchase common stock (“Related Party Warrant”). The Hubble Agreement has an initial term of 5 years beginning on November 12,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pStyle w:val="TextBody"/>
        <w:bidi w:val="0"/>
        <w:spacing w:lineRule="auto" w:line="288" w:before="240" w:after="283"/>
        <w:jc w:val="both"/>
        <w:rPr/>
      </w:pPr>
      <w:r>
        <w:rPr>
          <w:rFonts w:ascii="Times New Roman;serif" w:hAnsi="Times New Roman;serif"/>
          <w:b w:val="false"/>
          <w:color w:val="000000"/>
          <w:sz w:val="20"/>
        </w:rPr>
        <w:t>The partnership agreement includes revenue-share payments in which Hubble wil</w:t>
      </w:r>
      <w:r>
        <w:rPr>
          <w:rFonts w:ascii="Times New Roman;serif" w:hAnsi="Times New Roman;serif"/>
          <w:b w:val="false"/>
          <w:color w:val="000000"/>
          <w:sz w:val="20"/>
          <w:shd w:fill="FFFFFF" w:val="clear"/>
        </w:rPr>
        <w:t xml:space="preserve">l pay the Company a percentage of revenue earned from leveraging the new global location-tracking network service offering. </w:t>
      </w:r>
      <w:r>
        <w:rPr>
          <w:rFonts w:ascii="Times New Roman;serif" w:hAnsi="Times New Roman;serif"/>
          <w:b w:val="false"/>
          <w:color w:val="000000"/>
          <w:sz w:val="20"/>
        </w:rPr>
        <w:t>The partnership also allows Hubble to purchase Tile hardware devices at a price equal to the Company’s burdened cost of goods sold plus 12.5%.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 grant of the Related Party Warrant was considered non-cash consideration, which the Company measured at fair value on the date of issuance. The Related Party Warrant includes various performance-based vesting conditions based on revenue and operational milestones to be measured and assessed throughout the term of the agreement. As of March 31, 2026, 2,049,191 shares of the Related Party Warrant have vested. The warrant was valued using a Black Scholes option-pricing model, and the fair value of approximately $3.9 million has been included as consideration in the transaction price of the Related Party Agreement, and is also included in prepaid expenses and other assets, noncurrent and deferred revenue on the Company’s condensed consolidated balance sheets. The fair value of the warrant included within deferred revenue is amortized</w:t>
      </w:r>
      <w:r>
        <w:rPr>
          <w:color w:val="000000"/>
          <w:shd w:fill="FFFFFF" w:val="clear"/>
        </w:rPr>
        <w:t xml:space="preserve"> </w:t>
      </w:r>
      <w:r>
        <w:rPr>
          <w:rFonts w:ascii="Times New Roman;serif" w:hAnsi="Times New Roman;serif"/>
          <w:b w:val="false"/>
          <w:color w:val="000000"/>
          <w:sz w:val="20"/>
          <w:shd w:fill="FFFFFF" w:val="clear"/>
        </w:rPr>
        <w:t xml:space="preserve">to other revenue over the life of the agreement. The Company recognized $0.2 million and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in other revenue on the condensed consolidated statements of operations and comprehensive income in connection with the Related Party Warrant during the </w:t>
      </w:r>
      <w:r>
        <w:rPr>
          <w:rFonts w:ascii="Times New Roman;serif" w:hAnsi="Times New Roman;serif"/>
          <w:b w:val="false"/>
          <w:color w:val="000000"/>
          <w:sz w:val="20"/>
        </w:rPr>
        <w:t>three months</w:t>
      </w:r>
      <w:r>
        <w:rPr>
          <w:color w:val="000000"/>
          <w:shd w:fill="FFFFFF" w:val="clear"/>
        </w:rPr>
        <w:t xml:space="preserve"> </w:t>
      </w:r>
      <w:r>
        <w:rPr>
          <w:rFonts w:ascii="Times New Roman;serif" w:hAnsi="Times New Roman;serif"/>
          <w:b w:val="false"/>
          <w:color w:val="000000"/>
          <w:sz w:val="20"/>
          <w:shd w:fill="FFFFFF" w:val="clear"/>
        </w:rPr>
        <w:t xml:space="preserve">ended March 31, 2026 </w:t>
      </w:r>
      <w:r>
        <w:rPr>
          <w:rFonts w:ascii="Times New Roman;serif" w:hAnsi="Times New Roman;serif"/>
          <w:b w:val="false"/>
          <w:color w:val="000000"/>
          <w:sz w:val="20"/>
        </w:rPr>
        <w:t>and 2025</w:t>
      </w:r>
      <w:r>
        <w:rPr>
          <w:rFonts w:ascii="Times New Roman;serif" w:hAnsi="Times New Roman;serif"/>
          <w:b w:val="false"/>
          <w:color w:val="000000"/>
          <w:sz w:val="20"/>
          <w:shd w:fill="FFFFFF" w:val="clear"/>
        </w:rPr>
        <w:t>, respectively. The related deferred revenue, current and deferred revenue, noncurrent balance as of March 31, 2026 w</w:t>
      </w:r>
      <w:r>
        <w:rPr>
          <w:rFonts w:ascii="Times New Roman;serif" w:hAnsi="Times New Roman;serif"/>
          <w:b w:val="false"/>
          <w:color w:val="000000"/>
          <w:sz w:val="20"/>
        </w:rPr>
        <w:t>as $0.8 million and $2.0 million, respect</w:t>
      </w:r>
      <w:r>
        <w:rPr>
          <w:rFonts w:ascii="Times New Roman;serif" w:hAnsi="Times New Roman;serif"/>
          <w:b w:val="false"/>
          <w:color w:val="000000"/>
          <w:sz w:val="20"/>
          <w:shd w:fill="FFFFFF" w:val="clear"/>
        </w:rPr>
        <w:t xml:space="preserve">ively. The deferred revenue, current and deferred revenue, noncurrent balance as of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$0.8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$2.2 million</w:t>
      </w:r>
      <w:r>
        <w:rPr>
          <w:rFonts w:ascii="Times New Roman;serif" w:hAnsi="Times New Roman;serif"/>
          <w:b w:val="false"/>
          <w:color w:val="000000"/>
          <w:sz w:val="20"/>
          <w:shd w:fill="FFFFFF" w:val="clear"/>
        </w:rPr>
        <w:t xml:space="preserve">, respectively.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April 2025, the Related Party SAFE converted into shares of preferred stock (the “Related Party Investment”). As of March 31, 2026, the carrying value of the Related Party Investment was </w:t>
      </w:r>
      <w:r>
        <w:rPr>
          <w:rFonts w:ascii="Times New Roman;serif" w:hAnsi="Times New Roman;serif"/>
          <w:b w:val="false"/>
          <w:color w:val="000000"/>
          <w:sz w:val="20"/>
        </w:rPr>
        <w:t>$5.9 million</w:t>
      </w:r>
      <w:r>
        <w:rPr>
          <w:color w:val="000000"/>
          <w:shd w:fill="FFFFFF" w:val="clear"/>
        </w:rPr>
        <w:t xml:space="preserve"> </w:t>
      </w:r>
      <w:r>
        <w:rPr>
          <w:rFonts w:ascii="Times New Roman;serif" w:hAnsi="Times New Roman;serif"/>
          <w:b w:val="false"/>
          <w:color w:val="000000"/>
          <w:sz w:val="20"/>
          <w:shd w:fill="FFFFFF" w:val="clear"/>
        </w:rPr>
        <w:t xml:space="preserve">and is included within prepaid expenses and other assets, noncurrent on the condensed consolidated balance sheet. Refer to </w:t>
      </w:r>
      <w:r>
        <w:rPr>
          <w:rFonts w:ascii="Times New Roman;serif" w:hAnsi="Times New Roman;serif"/>
          <w:b w:val="false"/>
          <w:color w:val="000000"/>
          <w:sz w:val="20"/>
        </w:rPr>
        <w:t>Note 6, "Fair Value Measurements"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Net Income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calculated by dividing net income available to common stockholders by the weighted-average number of shares of common stock outstanding for the period. Diluted net income per share reflects the potential dilution that could occur if options, RSUs, warrants, or other securities with features that could result in the issuance of common stock were exercised or converted to common stock using the treasury-stock method.</w:t>
      </w:r>
    </w:p>
    <w:p>
      <w:pPr>
        <w:pStyle w:val="TextBody"/>
        <w:bidi w:val="0"/>
        <w:spacing w:lineRule="auto" w:line="288" w:before="240" w:after="283"/>
        <w:jc w:val="both"/>
        <w:rPr/>
      </w:pPr>
      <w:r>
        <w:rPr>
          <w:rFonts w:ascii="Times New Roman;serif" w:hAnsi="Times New Roman;serif"/>
          <w:b w:val="false"/>
          <w:color w:val="000000"/>
          <w:sz w:val="20"/>
        </w:rPr>
        <w:t xml:space="preserve">In connection with the June 2025 Convertible Notes, the Company applied the if-converted method under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to calculate diluted earnings per share. Since the June 2025 Convertible Notes require principal settlement in cash and only the premium is potentially settled in shares, the Company includes the incremental dilutive shares (the conversion spread) in the denominator only when the average stock price exceeds the conversion price. For the three months ended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the June 2025 Convertible Notes were not dilutive, and therefore no incremental shares were included in diluted EPS.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(in thousands, except share and per share information):</w:t>
      </w:r>
    </w:p>
    <w:p>
      <w:pPr>
        <w:pStyle w:val="TextBody"/>
        <w:bidi w:val="0"/>
        <w:spacing w:before="0" w:after="0"/>
        <w:jc w:val="left"/>
        <w:rPr/>
      </w:pPr>
      <w:r>
        <w:rPr/>
      </w:r>
    </w:p>
    <w:tbl>
      <w:tblPr>
        <w:tblW w:w="9203" w:type="dxa"/>
        <w:jc w:val="left"/>
        <w:tblInd w:w="0" w:type="dxa"/>
        <w:tblLayout w:type="fixed"/>
        <w:tblCellMar>
          <w:top w:w="28" w:type="dxa"/>
          <w:left w:w="28" w:type="dxa"/>
          <w:bottom w:w="28" w:type="dxa"/>
          <w:right w:w="28" w:type="dxa"/>
        </w:tblCellMar>
      </w:tblPr>
      <w:tblGrid>
        <w:gridCol w:w="2176"/>
        <w:gridCol w:w="1907"/>
        <w:gridCol w:w="1932"/>
        <w:gridCol w:w="275"/>
        <w:gridCol w:w="806"/>
        <w:gridCol w:w="109"/>
        <w:gridCol w:w="109"/>
        <w:gridCol w:w="109"/>
        <w:gridCol w:w="109"/>
        <w:gridCol w:w="275"/>
        <w:gridCol w:w="806"/>
        <w:gridCol w:w="109"/>
        <w:gridCol w:w="109"/>
        <w:gridCol w:w="109"/>
        <w:gridCol w:w="109"/>
        <w:gridCol w:w="154"/>
      </w:tblGrid>
      <w:tr>
        <w:trPr/>
        <w:tc>
          <w:tcPr>
            <w:tcW w:w="217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options, RSUs, warrants, or other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85,677,079 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83,445,337 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potential shares of common stock were excluded from the diluted net income per share calculation as their inclusion would have been antidilutive. Excluded shares are as follows:</w:t>
      </w:r>
    </w:p>
    <w:tbl>
      <w:tblPr>
        <w:tblW w:w="6953" w:type="dxa"/>
        <w:jc w:val="left"/>
        <w:tblInd w:w="0" w:type="dxa"/>
        <w:tblLayout w:type="fixed"/>
        <w:tblCellMar>
          <w:top w:w="28" w:type="dxa"/>
          <w:left w:w="28" w:type="dxa"/>
          <w:bottom w:w="28" w:type="dxa"/>
          <w:right w:w="28" w:type="dxa"/>
        </w:tblCellMar>
      </w:tblPr>
      <w:tblGrid>
        <w:gridCol w:w="1424"/>
        <w:gridCol w:w="1251"/>
        <w:gridCol w:w="1255"/>
        <w:gridCol w:w="413"/>
        <w:gridCol w:w="413"/>
        <w:gridCol w:w="178"/>
        <w:gridCol w:w="178"/>
        <w:gridCol w:w="178"/>
        <w:gridCol w:w="178"/>
        <w:gridCol w:w="413"/>
        <w:gridCol w:w="413"/>
        <w:gridCol w:w="178"/>
        <w:gridCol w:w="109"/>
        <w:gridCol w:w="109"/>
        <w:gridCol w:w="109"/>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888,982 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888,982 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2025, filed with the SEC on March 2, 2026 (“Annual Report”). In addition to historical financial information, the following discussion contains forward-looking statements that are based upon current plans, expectations, and beliefs that involve risks and uncertainties. Our actual results could differ materially from those discussed in the forward-looking statements as a result of a variety of factors, including but not limited to those discussed in “Risk Factors” under Part I, Item 1A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additional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 We also generate advertising revenue through the placement of third-party advertisements on our platform and across third-party publisher networks through our advertising technology platform, and other revenue through partnerships and the sale of aggregated, non-personally identifiable data for data insight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the offerings on our platform; attracting and retaining talent; seasonality; international expansion; and growth and monetization of advertising offerings.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describes certain line items in our condensed consolidated statements of operations and comprehensive income. </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Subscription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sales of subscriptions on our platform, including Life360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Hardware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our hardware revenue from the sale of hardware tracking devices and related accessories. For hardware and accessories, revenue is recognized at the time products are delivered. We sell hardware tracking devices and accessories through a number of channels including our website and online retail.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Advertising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Advertising revenue consists of fees earned from the placement of third-party advertisements across our own properties and third-party publisher networks. We generate advertising revenue through both direct relationships with brands and advertisers as well as through programmatic advertising networks. Advertisements are displayed to users in the form of in-app display advertisements and sponsored placements. Advertising revenue is driven primarily by the number of impressions delivered and the rates at which those impressions are sold.</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consists of data and partnership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through the recognition of revenue related to a warrant to purchase common stock of a related party (“Related Party Warrant”).</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Revenue and Gross Margin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Subscription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internally developed software,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member growth and increased use of our platform. We expect that cost of revenue will increase in absolute dollars in future periods.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Hardware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write-downs of excess and obsolete inventory, amortization of acquired intangibles, and allocated overhead, such as facilities, including rent and utilities, and shared information technology costs. Personnel-related expenses include salaries, bonuses, benefits, and stock-based compensation for operations personnel.</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Advertising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includes cloud-based hosting costs supporting our advertising technology platform, amortization of acquired intangibles and internally-developed software, third-party data and content licensing costs, personnel-related costs, and allocated overhead, such as facilities, including rent and utilities, and shared information technology costs. For advertising revenue recognized on a gross basis, cost of advertising revenue includes traffic acquisition costs, which represent amounts paid to third-party publishers for advertising placements and inventory access. Personnel-related expenses include salaries, bonuses, benefits, and stock-based compensation for advertising operations personnel.</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includes cloud-based hosting costs as well as costs of product operations functions and personnel-related costs associated with our data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Gross Profit and Gross Profit Margin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gross profit has been, and may in the future be, influenced by several factors, including timing of capital expenditures and related depreciation expense, increases in infrastructure costs, component costs, tariffs, contract manufacturing and supplier pricing, and foreign currency exchange rates. Gross profit and gross profit margin may fluctuate over time based on the factors described above.</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sales and marketing, and general and administrative expenses.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and Marketing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and marketing expenses consist primarily of commissions to our third-party platforms (each a “Channel Partner”), personnel-related costs, brand marketing costs, lead generation costs, growth media and other marketing spend to support strategic initiatives, sales incentives, sponsorships, amortization of acquired intangibles, bad debt expense, and allocated overhead. Commission payments to Channel Partners in connection with annual subscription sales of our mobile application on third-party store platforms are considered to be incremental and recoverable costs of obtaining a contract with a customer and are expensed as incurred or deferred and amortized over an estimated period of benefit of three years depending on the subscription type.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and non-income-based taxes. We expect general and administrative expenses will increase in absolute dollars as our business grows.</w:t>
      </w:r>
    </w:p>
    <w:p>
      <w:pPr>
        <w:pStyle w:val="TextBody"/>
        <w:bidi w:val="0"/>
        <w:spacing w:lineRule="auto" w:line="288" w:before="3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Change in Fair Value of Investment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May 2025, we entered into a series of transactions with Aura Consolidated Group, Inc. (“Aura”), which included a convertible note investment into Aura (“Convertible Note Investment”). We elected to apply the fair value option in accordance with ASC 825</w:t>
      </w:r>
      <w:r>
        <w:rPr>
          <w:rFonts w:ascii="Times New Roman;serif" w:hAnsi="Times New Roman;serif"/>
          <w:b w:val="false"/>
          <w:i/>
          <w:color w:val="000000"/>
          <w:sz w:val="20"/>
        </w:rPr>
        <w:t xml:space="preserve">, Financial Instruments </w:t>
      </w:r>
      <w:r>
        <w:rPr>
          <w:rFonts w:ascii="Times New Roman;serif" w:hAnsi="Times New Roman;serif"/>
          <w:b w:val="false"/>
          <w:color w:val="000000"/>
          <w:sz w:val="20"/>
        </w:rPr>
        <w:t>and as a result, the Loss on change in fair value of investment relates to the change in fair value associated with the Convertible Note Investment.</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and cash equivalents balances received from bank deposits, money market funds, and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foreign currency exchange gains/(losses) related to the remeasurement of certain assets and liabilities of our foreign subsidiaries that are denominated in currencies other than the functional currency of the subsidiary, foreign exchange transactions gains/(losses), and interest expense primarily related to convertible notes and the deferred purchase price liability related to the acquisition of Nativo, Inc. (“Nativo”).</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Benefit from income taxes consists of U.S. federal and state income taxes and foreign income taxes in jurisdictions in which we conduct business. Deferred income taxes reflect the net tax effect of temporary differences between the carrying amount of assets and liabilities for financial reporting purposes and the amounts used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and comprehensive income for the three months ended March 31, 2026 and 2025 (in thousands, except percentages).</w:t>
      </w:r>
    </w:p>
    <w:p>
      <w:pPr>
        <w:pStyle w:val="TextBody"/>
        <w:bidi w:val="0"/>
        <w:spacing w:before="0" w:after="0"/>
        <w:jc w:val="both"/>
        <w:rPr/>
      </w:pPr>
      <w:r>
        <w:rPr/>
      </w:r>
    </w:p>
    <w:tbl>
      <w:tblPr>
        <w:tblW w:w="9123" w:type="dxa"/>
        <w:jc w:val="left"/>
        <w:tblInd w:w="0" w:type="dxa"/>
        <w:tblLayout w:type="fixed"/>
        <w:tblCellMar>
          <w:top w:w="28" w:type="dxa"/>
          <w:left w:w="28" w:type="dxa"/>
          <w:bottom w:w="28" w:type="dxa"/>
          <w:right w:w="28" w:type="dxa"/>
        </w:tblCellMar>
      </w:tblPr>
      <w:tblGrid>
        <w:gridCol w:w="1599"/>
        <w:gridCol w:w="1403"/>
        <w:gridCol w:w="1408"/>
        <w:gridCol w:w="211"/>
        <w:gridCol w:w="826"/>
        <w:gridCol w:w="109"/>
        <w:gridCol w:w="109"/>
        <w:gridCol w:w="109"/>
        <w:gridCol w:w="109"/>
        <w:gridCol w:w="211"/>
        <w:gridCol w:w="721"/>
        <w:gridCol w:w="109"/>
        <w:gridCol w:w="109"/>
        <w:gridCol w:w="109"/>
        <w:gridCol w:w="109"/>
        <w:gridCol w:w="344"/>
        <w:gridCol w:w="346"/>
        <w:gridCol w:w="483"/>
        <w:gridCol w:w="109"/>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subscription revenue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hardware revenue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advertising revenue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other revenue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revenue</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expenses</w:t>
            </w:r>
            <w:r>
              <w:rPr>
                <w:rFonts w:ascii="Times New Roman;serif" w:hAnsi="Times New Roman;serif"/>
                <w:b/>
                <w:color w:val="000000"/>
                <w:sz w:val="13"/>
              </w:rPr>
              <w:t>(1)</w:t>
            </w:r>
            <w:r>
              <w:rPr>
                <w:rFonts w:ascii="Times New Roman;serif" w:hAnsi="Times New Roman;serif"/>
                <w:b/>
                <w:color w:val="000000"/>
                <w:sz w:val="20"/>
              </w:rPr>
              <w:t xml:space="preserv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 (in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tbl>
      <w:tblPr>
        <w:tblW w:w="9963" w:type="dxa"/>
        <w:jc w:val="left"/>
        <w:tblInd w:w="0" w:type="dxa"/>
        <w:tblLayout w:type="fixed"/>
        <w:tblCellMar>
          <w:top w:w="28" w:type="dxa"/>
          <w:left w:w="28" w:type="dxa"/>
          <w:bottom w:w="28" w:type="dxa"/>
          <w:right w:w="28" w:type="dxa"/>
        </w:tblCellMar>
      </w:tblPr>
      <w:tblGrid>
        <w:gridCol w:w="2060"/>
        <w:gridCol w:w="1806"/>
        <w:gridCol w:w="1818"/>
        <w:gridCol w:w="211"/>
        <w:gridCol w:w="721"/>
        <w:gridCol w:w="109"/>
        <w:gridCol w:w="109"/>
        <w:gridCol w:w="109"/>
        <w:gridCol w:w="109"/>
        <w:gridCol w:w="211"/>
        <w:gridCol w:w="616"/>
        <w:gridCol w:w="109"/>
        <w:gridCol w:w="109"/>
        <w:gridCol w:w="109"/>
        <w:gridCol w:w="109"/>
        <w:gridCol w:w="233"/>
        <w:gridCol w:w="233"/>
        <w:gridCol w:w="483"/>
        <w:gridCol w:w="109"/>
        <w:gridCol w:w="109"/>
        <w:gridCol w:w="109"/>
        <w:gridCol w:w="109"/>
        <w:gridCol w:w="109"/>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as a percentage of total revenue:</w:t>
      </w:r>
    </w:p>
    <w:tbl>
      <w:tblPr>
        <w:tblW w:w="6891" w:type="dxa"/>
        <w:jc w:val="left"/>
        <w:tblInd w:w="0" w:type="dxa"/>
        <w:tblLayout w:type="fixed"/>
        <w:tblCellMar>
          <w:top w:w="28" w:type="dxa"/>
          <w:left w:w="28" w:type="dxa"/>
          <w:bottom w:w="28" w:type="dxa"/>
          <w:right w:w="28" w:type="dxa"/>
        </w:tblCellMar>
      </w:tblPr>
      <w:tblGrid>
        <w:gridCol w:w="1598"/>
        <w:gridCol w:w="1405"/>
        <w:gridCol w:w="1407"/>
        <w:gridCol w:w="232"/>
        <w:gridCol w:w="234"/>
        <w:gridCol w:w="333"/>
        <w:gridCol w:w="134"/>
        <w:gridCol w:w="134"/>
        <w:gridCol w:w="134"/>
        <w:gridCol w:w="232"/>
        <w:gridCol w:w="234"/>
        <w:gridCol w:w="333"/>
        <w:gridCol w:w="109"/>
        <w:gridCol w:w="109"/>
        <w:gridCol w:w="109"/>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Operating expenses: </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investment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Revenue </w:t>
      </w:r>
    </w:p>
    <w:tbl>
      <w:tblPr>
        <w:tblW w:w="8488"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1"/>
        <w:gridCol w:w="235"/>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revenue increased $26.3 million, or 32%, during the three months ended March 31, 2026 as compared to the three months ended March 31, 2025, primarily due to 27% growth in Paying Circles and 17% growth in total subscriptions. Additionally, subscription revenue in the current period benefited from a 7% uplift in ARPPC. Please refer to the “Key Performance Indicators” section for definitions of key performance indicators (“KPIs”).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Hardware revenue decreased $4.4 million, or 49%, during the three months ended March 31, 2026 as compared to the three months ended March 31, 2025. The decline was primarily driven by a 25% decrease in Net hardware units shipped, contributing to a $1.2 million decrease in hardware revenue. This decrease was also impacted by a $1.9 million increase in discounts and a $0.9 million increase in returns, of which $1.0 million and $0.5 million, respectively, were directly attributable to the strategic exit of the brick-and-mortar retail channel, and a $0.4 million reduction in revenue related to bundled offerings.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Advertising revenue increased</w:t>
      </w:r>
      <w:r>
        <w:rPr>
          <w:color w:val="000000"/>
        </w:rPr>
        <w:t xml:space="preserve"> </w:t>
      </w:r>
      <w:r>
        <w:rPr>
          <w:rFonts w:ascii="Times New Roman;serif" w:hAnsi="Times New Roman;serif"/>
          <w:b w:val="false"/>
          <w:color w:val="000000"/>
          <w:sz w:val="20"/>
        </w:rPr>
        <w:t xml:space="preserve">$15.1 million, or 329%, during the three months ended March 31, 2026 as compared to the three months ended March 31, 2025. This was primarily driven by a $12.6 million increase in managed advertising revenue and a $2.5 million increase in other advertising revenue, both primarily attributable to the acquisition of Nativo. We expect advertising revenue to grow as we continue to integrate Nativo's platform, expand advertiser relationships, and increase advertising inventory across the Life360 platform.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increased $2.5 million, or 30%, during the three months ended March 31, 2026 as compared to the three months ended March 31, 2025. This was due to a $2.0 million increase in data revenue, which was primarily attributable to increased data volumes resulting from user growth, and a $0.5 million increase in partnership revenue, primarily driven by higher revenue share from an existing partner. </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Cost of Revenue, Gross Profit, and Gross Margin </w:t>
      </w:r>
    </w:p>
    <w:tbl>
      <w:tblPr>
        <w:tblW w:w="8180" w:type="dxa"/>
        <w:jc w:val="left"/>
        <w:tblInd w:w="0" w:type="dxa"/>
        <w:tblLayout w:type="fixed"/>
        <w:tblCellMar>
          <w:top w:w="28" w:type="dxa"/>
          <w:left w:w="28" w:type="dxa"/>
          <w:bottom w:w="28" w:type="dxa"/>
          <w:right w:w="28" w:type="dxa"/>
        </w:tblCellMar>
      </w:tblPr>
      <w:tblGrid>
        <w:gridCol w:w="911"/>
        <w:gridCol w:w="802"/>
        <w:gridCol w:w="807"/>
        <w:gridCol w:w="285"/>
        <w:gridCol w:w="390"/>
        <w:gridCol w:w="391"/>
        <w:gridCol w:w="147"/>
        <w:gridCol w:w="147"/>
        <w:gridCol w:w="147"/>
        <w:gridCol w:w="285"/>
        <w:gridCol w:w="338"/>
        <w:gridCol w:w="338"/>
        <w:gridCol w:w="109"/>
        <w:gridCol w:w="109"/>
        <w:gridCol w:w="109"/>
        <w:gridCol w:w="211"/>
        <w:gridCol w:w="337"/>
        <w:gridCol w:w="339"/>
        <w:gridCol w:w="109"/>
        <w:gridCol w:w="109"/>
        <w:gridCol w:w="109"/>
        <w:gridCol w:w="271"/>
        <w:gridCol w:w="230"/>
        <w:gridCol w:w="233"/>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increased $4.4 million, or 43%, during the three months ended March 31, 2026 as compared to the three months ended March 31, 2025, primarily due to increases of $1.9 million in technology expenses, $1.3 million in personnel-related and stock-based compensation costs, and $0.2 million in amortization of internally developed software related to the release of new features and significant updates on our platform, all attributable to Company growth. In addition, costs associated with premium membership offerings increased $1.0 million.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gross margin decreased to 87% during the three months ended March 31, 2026 from 88% during the three months ended March 31, 2025, primarily due to higher personnel costs attributable to Company growth.</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remained flat during the three months ended March 31, 2026 as compared to the three months ended March 31, 2025. Although we saw a decline in net units shipped, hardware product costs increased $0.6 million due to a shift in product mix. These increases were partially offset by a $0.6 million decrease in inventory reserves and other costs primarily related to the strategic exit of the brick-and-mortar retail channel.</w:t>
      </w:r>
    </w:p>
    <w:p>
      <w:pPr>
        <w:pStyle w:val="TextBody"/>
        <w:bidi w:val="0"/>
        <w:spacing w:lineRule="auto" w:line="288" w:before="240" w:after="283"/>
        <w:ind w:left="0" w:right="0" w:firstLine="450"/>
        <w:jc w:val="both"/>
        <w:rPr/>
      </w:pPr>
      <w:r>
        <w:rPr>
          <w:rFonts w:ascii="Times New Roman;serif" w:hAnsi="Times New Roman;serif"/>
          <w:b w:val="false"/>
          <w:color w:val="000000"/>
          <w:sz w:val="20"/>
        </w:rPr>
        <w:t>Hardware gross margin decreased to (91)% during the three months ended March 31, 2026 from 3%</w:t>
      </w:r>
      <w:r>
        <w:rPr>
          <w:color w:val="000000"/>
        </w:rPr>
        <w:t xml:space="preserve"> </w:t>
      </w:r>
      <w:r>
        <w:rPr>
          <w:rFonts w:ascii="Times New Roman;serif" w:hAnsi="Times New Roman;serif"/>
          <w:b w:val="false"/>
          <w:color w:val="000000"/>
          <w:sz w:val="20"/>
        </w:rPr>
        <w:t>during the three months ended March 31, 2025, primarily due to an increase in discounts and returns largely attributable to the Company's strategic exit from brick-and-mortar retail channel, as well as changes in product mix. We continue to prioritize hardware as a driver of subscription growth by optimizing pricing and bundling to increase subscription attachment over standalone hardware margin.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increased $7.7 million, or 2,929%, during the three months ended March 31, 2026 as compared to the three months ended March 31, 2025. The increase was primarily driven by increases of $2.6 million in traffic acquisition costs, $2.5 million in technology and hosting costs, $1.4 million in personnel-related and stock-based compensation costs, $0.7 million in third-party data and content licensing costs, and $0.5 million in amortization of acquired technology, all attributable to the acquisition of Nativo.</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Advertising gross margin decreased to 60% during the three months ended March 31, 2026 from 94% during the three months ended March 31, 2025, primarily due to higher costs associated with the acquisition of Nativo, which outpaced the growth in total advertising revenue. The acquisition of Nativo has expanded the Company's advertising capabilities, resulting in a shift in margin mix relative to our existing advertising offerings.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increased $0.4 million, or 39%, during the three months ended March 31, 2026 as compared to the three months ended March 31, 2025, due to an increase of $0.4 million in technology and other related expenses to support the existing customer base.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gross margin decreased to 86% during the three months ended March 31, 2026 from 87% during the three months ended March 31, 2025, primarily due to costs outpacing revenue growth.</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w:t>
      </w:r>
    </w:p>
    <w:tbl>
      <w:tblPr>
        <w:tblW w:w="8068"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$8.9 million, or 29%, during the three months ended March 31, 2026 as compared to the three months ended March 31, 2025, primarily due to increases of $6.4 million in personnel-related and stock-based compensation costs, including those related to the acquisition of Nativo, $1.3 million in technology and other expenses, and $0.9 million in professional and outside services. Additionally, a $0.8 million decrease in capitalized construction in progress costs, in line with our product development roadmap, contributed to the increase. These increases were partially offset by $0.5 million of higher capitalized internally developed software costs related to the development of new features and significant updates to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and Marketing</w:t>
      </w:r>
    </w:p>
    <w:tbl>
      <w:tblPr>
        <w:tblW w:w="8173"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$21.7 million, or 62%, during the three months ended March 31, 2026 as compared to the three months ended March 31, 2025. This was primarily due to increases of $7.8 million in growth media and other marketing spend to support strategic initiatives, and $5.1 million in commissions to the Company’s Channel Partners, in line with the increase in subscription revenue. The increase was also driven by $5.1 million in personnel-related and stock-based compensation costs and $1.8 million in amortization of acquired intangible assets, each primarily attributable to the acquisition of Nativo. Additional increases include $0.9 million in technology and other expenses attributable to Company growth, $0.6 million in Nativo integration costs, and $0.4 million in severance costs related to the strategic exit of the brick-and-mortar retail channel.</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and Administrative</w:t>
      </w:r>
    </w:p>
    <w:tbl>
      <w:tblPr>
        <w:tblW w:w="8068"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$6.7 million, or 43%, during the three months ended March 31, 2026 as compared to the three months ended March 31, 2025. This was primarily due to increases of $5.8 million in personnel-related and stock-based compensation costs and $0.7 million in technology and other expenses, both attributable to Company growth. Additional increases include $0.6 million in warehouse relocation costs related to the move of certain hardware manufacturing operations and $0.5 million in Nativo integration costs. These increases were partially offset by a $0.9 million decrease in professional and outside services.</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Change in Fair Value of Investment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May 2025, the Company entered into a series of transactions with Aura, which included the $25.0 million Convertible Note Investment. The Company elected to apply the fair value option in accordance with ASC 825,</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As a result, a $3.9 million loss related to the revaluation of the Convertible Note Investment was recognized during the three months ended March 31, 2026. </w:t>
      </w:r>
    </w:p>
    <w:p>
      <w:pPr>
        <w:pStyle w:val="TextBody"/>
        <w:bidi w:val="0"/>
        <w:spacing w:lineRule="auto" w:line="288" w:before="360" w:after="283"/>
        <w:ind w:left="0" w:right="0" w:firstLine="45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Interest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$2.0 million, or 114%, during the three months ended March 31, 2026 as compared to the three months ended March 31, 2025, resulting from higher average gross yields attributable to increased cash and cash equivalents and short-term investment balances.</w:t>
      </w:r>
    </w:p>
    <w:p>
      <w:pPr>
        <w:pStyle w:val="TextBody"/>
        <w:bidi w:val="0"/>
        <w:spacing w:lineRule="auto" w:line="288" w:before="360" w:after="283"/>
        <w:ind w:left="0" w:right="0" w:firstLine="45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decreased $1.0 million, or 515%, during the three months ended March 31, 2026 as compared to the three months ended March 31, 2025. This was primarily driven by a $0.5 million increase in interest expense related to the June 2025 Convertible Notes, a $0.3 million increase in foreign exchange losses, and a $0.2 million increase in interest expense related to the deferred purchase price liability from the acquisition of Nativo. Refer to Note 7, "Business Combinations" and Note 8, "Balance Sheet Components" for additional information on the acquisition of Nativo and the related deferred purchase price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Benefit from income taxes increased $11.5 million during the three months ended March 31, 2026 as compared to the three months ended March 31, 2025, primarily due to changes in the Company’s annual estimated effective tax rate and discrete tax benefits. For the three months ended March 31, 2026, we recorded a total income tax benefit of $11.7 million, consisting of a $2.7 million benefit based on the annual estimated effective tax rate, primarily due to the loss before income tax for the period, and $9.0 million of discrete tax benefits, primarily related to stock-based compensation.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annual estimated effective tax rate in any quarter may be subject to fluctuations during the year as new information is obtained, which may positively or negatively affect the assumptions used to estimate the annual effective tax rate. We maintain a full valuation allowance on our California state tax credits and Canadian Scientific Research and Experimental Development credits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Key Performance Indicators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review several operating metrics, including the following Key Performance Indicators (“KPIs”), to evaluate our business, measure our performance, identify trends affecting our business, develop financial forecasts, and make strategic decisions. We believe these KPIs are useful to investors because they allow for greater transparency with respect to key metrics used by management in its financial and operational decision-making, and they may be used by investors to help analyze the health of our business. KPIs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pStyle w:val="TextBody"/>
        <w:bidi w:val="0"/>
        <w:spacing w:before="0" w:after="0"/>
        <w:jc w:val="both"/>
        <w:rPr/>
      </w:pPr>
      <w:r>
        <w:rPr/>
      </w:r>
    </w:p>
    <w:p>
      <w:pPr>
        <w:pStyle w:val="TextBody"/>
        <w:bidi w:val="0"/>
        <w:spacing w:lineRule="auto" w:line="288" w:before="3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Key Performance Indicators</w:t>
      </w:r>
    </w:p>
    <w:tbl>
      <w:tblPr>
        <w:tblW w:w="7668" w:type="dxa"/>
        <w:jc w:val="left"/>
        <w:tblInd w:w="0" w:type="dxa"/>
        <w:tblLayout w:type="fixed"/>
        <w:tblCellMar>
          <w:top w:w="28" w:type="dxa"/>
          <w:left w:w="28" w:type="dxa"/>
          <w:bottom w:w="28" w:type="dxa"/>
          <w:right w:w="28" w:type="dxa"/>
        </w:tblCellMar>
      </w:tblPr>
      <w:tblGrid>
        <w:gridCol w:w="1197"/>
        <w:gridCol w:w="1056"/>
        <w:gridCol w:w="1061"/>
        <w:gridCol w:w="211"/>
        <w:gridCol w:w="721"/>
        <w:gridCol w:w="109"/>
        <w:gridCol w:w="109"/>
        <w:gridCol w:w="109"/>
        <w:gridCol w:w="109"/>
        <w:gridCol w:w="211"/>
        <w:gridCol w:w="721"/>
        <w:gridCol w:w="109"/>
        <w:gridCol w:w="109"/>
        <w:gridCol w:w="109"/>
        <w:gridCol w:w="109"/>
        <w:gridCol w:w="218"/>
        <w:gridCol w:w="218"/>
        <w:gridCol w:w="483"/>
        <w:gridCol w:w="109"/>
        <w:gridCol w:w="109"/>
        <w:gridCol w:w="109"/>
        <w:gridCol w:w="109"/>
        <w:gridCol w:w="109"/>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Three </w:t>
              <w:br/>
              <w:t xml:space="preserve">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ARPPC, ARPPS and ASP)</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Circles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ARPPC</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hardware units shipped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ASP</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(1) Excludes revenue related to bundled Life360 subscription and hardware offerings, which was immaterial for the three months ended March 31, 2026, and $(0.4) million for the three months ended March 31, 2025.</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(2) Excludes revenue related to bundled Life360 subscription and hardware offerings, which was immaterial for the three months ended March 31, 2026, and $0.4 million for the three months ended March 31, 2025.</w:t>
      </w:r>
    </w:p>
    <w:p>
      <w:pPr>
        <w:pStyle w:val="TextBody"/>
        <w:bidi w:val="0"/>
        <w:spacing w:lineRule="auto" w:line="288" w:before="24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Annualized Monthly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March 31, 2026, and 2025 was $517.9 million and $393.0 million, respectively, representing an increase of 32% year-over-year, which is largely attributable to continued subscriber growth and an increase in other recurring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Monthly Active Users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large and growing global member base as of March 31, 2026. A Life360 Monthly Active User (“MAU”) is defined as a unique member who engages with our Life360 branded services each month, which includes both paying and non-paying members, and excludes certain members who have a delayed account setup. As of March 31, 2026 and 2025, we had approximately 97.8 million and approximately 83.7 million MAUs on the Life360 platform, respectively, representing an increase of 17% year-over-year. We believe this has been driven by continued strong new member growth and retention.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MAU growth reflected a suppressed registration funnel resulting from a series of Android-driven technical issues that limited our ability to capture new users. A number of interconnected technical issues impacted Android users on lower-end devices before they fully onboarded. Management identified and resolved these root causes by March 2026, with all issues simultaneously cleared as of April 2026. Overall, we fell 3 percentage points below our planned annual growth trajectory for the three months ended March 31, 2026. The shortfall was concentrated in Android-heavy markets which do not contribute substantially to revenue, and we have determined the reasons why, beyond normal quarterly variation. As a result, we have revised our full-year 2026 MAU growth expectation to approximately 17% to 20% and expect to return to our planned growth trajectory by the third quarter of 2026. Refer to the "Forward-Looking Statements" section above.</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Paying Circles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we had approximately 3.0 million and 2.4 million paid subscribers to services under our Life360 brand, respectively, representing an increase of 27% year-over-year. We grow the number of Paying Circles by increasing our free member base, converting free members to subscribers, and retaining them over time with the provision of high-quality family connectivity and safety services.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Circle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our ARPPC was $143.03 and $133.42, respectively, representing a 7% increase year-over-year.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ARPPC is a key indicator utilized by the Company to determine our effectiveness at monetizing Paying Circles through tiered product offerings. The year-over-year growth in ARPPC primarily reflects a shift in product mix toward higher-priced offerings and price increases across select international markets throughout 2025.</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Subscriptions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Subscriptions as the number of paying subscribers associated with the Life360 and Tile brands who have been billed as of the end of the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we had approximately 3.5 million and 3.0 million paid subscribers, respectively, to services under the Life360 and Tile brands, representing an increase of 17%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grow the number of Subscriptions by selling hardware units and increasing our free member base, converting free members to subscribers, and retaining them over time with the provision of location tracking and high-quality family and safety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ARPPS as annualized total subscription revenue recognized and derived from Life360 and Tile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for the three months ended March 31, 2026 and 2025 was $127.15 and $112.98, respectively, representing an increase of 13%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has increased year-over-year as a result of a shift in product mix towards higher-priced offerings and price increases across select international markets throughout 2025.</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Hardware Units Shipped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hardware units shipped represents the number of tracking devices sold during a period, excluding certain hardware units related to bundled Life360 subscription and hardware offerings, net of returns by our retail partners and direct consumers. Selling units contributes to hardware revenue and ultimately increases the number of members eligible for a subscription.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Life360 sold approximately 0.4 million units and 0.5 million units, respectively, representing a decrease of 25% year-over-year. The decrease in Net hardware units shipped was primarily due to a decrease in online retail sales and the strategic exit of the brick-and-mortar retail channel.</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Net Average Sales Price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Net ASP per unit was $11.88 and $16.99, respectively, representing a decrease of 30% year-over-year. The decrease in Net ASP was primarily due to an increase in discounts, which were primarily driven by the strategic exit of the brick-and-mortar retail channel.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of $351.2 million, restricted cash of $1.7 million, and short-term investments of $106.1 million. As of December 31, 2025, we had cash and cash equivalents of $494.3 million and restricted cash of $1.6 million, and no short-term investments.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and short-term investments, together with cash generated from subscriptions, hardware tracking devices, advertising activities, and partnerships, including the sale of aggregated, non-personally identifiable data for data insight purposes,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8513" w:type="dxa"/>
        <w:jc w:val="left"/>
        <w:tblInd w:w="0" w:type="dxa"/>
        <w:tblLayout w:type="fixed"/>
        <w:tblCellMar>
          <w:top w:w="28" w:type="dxa"/>
          <w:left w:w="28" w:type="dxa"/>
          <w:bottom w:w="28" w:type="dxa"/>
          <w:right w:w="28" w:type="dxa"/>
        </w:tblCellMar>
      </w:tblPr>
      <w:tblGrid>
        <w:gridCol w:w="2128"/>
        <w:gridCol w:w="1873"/>
        <w:gridCol w:w="1878"/>
        <w:gridCol w:w="211"/>
        <w:gridCol w:w="901"/>
        <w:gridCol w:w="109"/>
        <w:gridCol w:w="109"/>
        <w:gridCol w:w="109"/>
        <w:gridCol w:w="109"/>
        <w:gridCol w:w="211"/>
        <w:gridCol w:w="721"/>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51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sources of operating cash are cash collections from our paying members for subscriptions to our platform, hardware tracking device sales, advertising revenue, and other revenue, which includes partnership revenue and revenue generated from the sale of aggregated, non-personally identifiable data for data insight purposes. Our primary uses of cash from operating activities are for employee-related expenditures, costs to acquire inventory, infrastructure-related costs, commissions paid to Channel Partners, and marketing expenses.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March 31, 2026 and December 31, 2025, we had deferred revenue of $51.9 million and $50.7 million, respectively, of which $48.2 million and $46.4 million is expected to be recorded as revenue in the next 12 months, respectively, provided all other revenue recognition criteria have been met.</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For the three months ended March 31, 2026, net cash provided by operating activities was $17.2 million. The primary factors affecting our operating cash flows during this period were our net income of $2.8 million, impacted</w:t>
      </w:r>
      <w:r>
        <w:rPr>
          <w:color w:val="000000"/>
        </w:rPr>
        <w:t xml:space="preserve"> </w:t>
      </w:r>
      <w:r>
        <w:rPr>
          <w:rFonts w:ascii="Times New Roman;serif" w:hAnsi="Times New Roman;serif"/>
          <w:b w:val="false"/>
          <w:color w:val="000000"/>
          <w:sz w:val="20"/>
        </w:rPr>
        <w:t>by $14.6 million of non-cash adjustments, and $0.2 million of cash used by changes in our operating assets and liabilities. The non-cash adjustments primarily consist of stock-based compensation, deferred income taxes, depreciation and amortization, and a loss on the change in fair value of investment. The cash used by changes in our operating assets and liabilities was primarily due to decreases in accrued expenses and other current liabilities and accounts payable, as well as increases in inventory and costs capitalized to obtain contracts. This was partially offset by decreases in accounts receivable and prepaid expenses and other current assets and an increase in deferred revenue.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provided by operating activities was $12.1 million. The primary factors affecting our operating cash flows during this period were our net income of $4.4 million, impacted by $13.1 million of non-cash adjustments, and $5.4 million of cash used by changes in our operating assets and liabilities. The non-cash adjustments primarily consisted of stock-based compensation and depreciation and amortization. The cash used by changes in our operating assets and liabilities was primarily due to decreases in accrued expenses and other current liabilities and increases in inventory and prepaid expenses and other assets, which was offset by decreases in accounts receivable, net, and deferred revenue.</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For the three months ended March 31, 2026, net cash used in investing activities was $163.6 million, which is primarily related to the $106.4 million purchase of short-term investments and $55.6 million cash paid for the acquisition of Nativo, net of cash acquired. Refer to Note 7, "Business Combinations" for additional information on the acquisition of Nativo. Net cash used in investing activities also included capitalization of internally developed software costs in accordance with ASC 350-40,</w:t>
      </w:r>
      <w:r>
        <w:rPr>
          <w:color w:val="000000"/>
        </w:rPr>
        <w:t xml:space="preserve"> </w:t>
      </w:r>
      <w:r>
        <w:rPr>
          <w:rFonts w:ascii="Times New Roman;serif" w:hAnsi="Times New Roman;serif"/>
          <w:b w:val="false"/>
          <w:i/>
          <w:color w:val="000000"/>
          <w:sz w:val="20"/>
        </w:rPr>
        <w:t>Intangibles - Goodwill and Other, Internal-Use Software.</w:t>
      </w:r>
      <w:r>
        <w:rPr>
          <w:color w:val="000000"/>
        </w:rPr>
        <w:t xml:space="preserve">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For the three months ended March 31, 2025, net cash used in investing activities was $4.3 million, which is primarily related to cash paid for the acquisition of Fantix, Inc. (“Fantix”). Refer to Note 6, "Business Combinations" in our Annual Report for additional information. Net cash used in investing activities also included capitalization of internally developed software costs in accordance with ASC 350-40</w:t>
      </w:r>
      <w:r>
        <w:rPr>
          <w:rFonts w:ascii="Times New Roman;serif" w:hAnsi="Times New Roman;serif"/>
          <w:b w:val="false"/>
          <w:i/>
          <w:color w:val="000000"/>
          <w:sz w:val="20"/>
        </w:rPr>
        <w:t>, Intangibles - Goodwill and Other, Internal-Use Software</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financing activities was $3.4 million, which is primarily driven by $12.2 million of proceeds related to tax withholdings on restricted stock settlements and the exercise of stock options and warrants and $2.3 million of proceeds from the monetization of tariff refund claims. The cash proceeds were partially offset by $10.3 million of taxes paid for the net settlement of equity awards and the $0.7 million deferred purchase price payment related to the Fantix acquisition.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provided by financing activities was $2.2 million, which is primarily related to $10.6 million of taxes paid for the net settlement of equity awards, offset by $12.8 million of proceeds related to tax withholdings on restricted stock settlements and the exercise of stock options and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Obligations and Other 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commitments consist of obligations under our operating leases for office space, and other purchase commitments. Information regarding our non-cancellable lease and other purchase commitments as of March 31, 2026, can be found in Note 8, "Balance Sheet Components" and Note 10,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Management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accordance with GAAP. The preparation of condensed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Our significant accounting policies are discussed in Note 2, "Summary of Significant Accounting Policies" in our Annual Report. There were no significant changes to these policies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$239.4 million of cash equivalents invested in money market funds. In addition, we held $106.1 million of U.S. Treasury securities classified as available-for-sale securities. As of December 31, 2025, we had $332.8 million of cash equivalents invested in money market funds and no U.S. Treasury securities.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are held for working capital purposes. The U.S. Treasury securities have contractual maturities of less than one year. Available-for-sale securities are recorded at fair value, with unrealized gains and losses recorded in accumulated other comprehensive income.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 hypothetical 10% relative change in interest rates would not have a material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March 31, 2026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March 31, 2026.</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March 31, 2026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over financial reporting will prevent all errors and all fraud. A control system, no matter how well designed and implemented,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and have been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10, "Commitments and Contingencies" in the notes to the condensed consolidated financial statements under the caption “Litigation and Arbitration”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from the risk factors set forth under the heading “Risk Factors” in Part I, Item 1A in our Annual Report. An investment in shares of our common stock involves a high degree of risk. You should carefully consider the risks and uncertainties described in our Annual Report, together with all of the other information in the Annual Report, together with the other information appearing elsewhere in this Quarterly Report, including our unaudited condensed consolidated financial statements and related notes hereto, and any other documents that we file with the SEC before deciding to invest in our common stock. The occurrence of any of the following risks or of those described in our Annual Report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in our Annual Report will not occur.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Unregistered Sales of Equity Securities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2, 2026, the Company completed the acquisition of Nativo, Inc., for a total consideration of approximately $104.0 million, consisting of $75.9 million in cash and $28.0 million in shares of the Company’s common stock. In connection with the acquisition, the Company issued an aggregate of 435,599 shares of common stock (the “Nativo Shares”) to the former stockholders of Nativo, Inc. The issuance of the Nativo Shares was not registered under the Securities Act of 1933, as amended (the “Securities Act”), in reliance on the exemption from registration provided by Section 4(a)(2) thereof, as a transaction not involving a public offering. The recipients of the Nativo Shares were accredited investors and had access to information regarding the Company, and the shares were issued without general solicitation or advertising. No underwriters were involved in the issuance of the Nativo Shares, and no underwriting discounts or commissions were paid in connection therewith.</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(a) None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(b) None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(c) Rule 10b5-1 Trading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directors and officers, subject to Rule 16a-1(f) of the Exchange Act (“Section 16 Officers”), may from time to time enter into plans for the purchase or sale of our common stock that are intended to satisfy the affirmative defense in Rule 10b5-1(c) of the Exchange Act.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2026, Ms. Morin terminated her Rule 10b5-1 trading plan, originally adopted on December 1, 2025, prior to the execution of all scheduled trades. No shares of common stock were sold pursuant to Ms. Morin's terminated 10b5-1 trading plan.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during the three months ended March 31, 2026, the following Section 16 Officer adopted a “Rule 10b5-1 trading arrangement” as defined in Item 408 of Regulation S-K of the Exchange Act:</w:t>
      </w:r>
    </w:p>
    <w:tbl>
      <w:tblPr>
        <w:tblW w:w="10047" w:type="dxa"/>
        <w:jc w:val="left"/>
        <w:tblInd w:w="0" w:type="dxa"/>
        <w:tblLayout w:type="fixed"/>
        <w:tblCellMar>
          <w:top w:w="28" w:type="dxa"/>
          <w:left w:w="28" w:type="dxa"/>
          <w:bottom w:w="28" w:type="dxa"/>
          <w:right w:w="28" w:type="dxa"/>
        </w:tblCellMar>
      </w:tblPr>
      <w:tblGrid>
        <w:gridCol w:w="358"/>
        <w:gridCol w:w="314"/>
        <w:gridCol w:w="318"/>
        <w:gridCol w:w="109"/>
        <w:gridCol w:w="109"/>
        <w:gridCol w:w="109"/>
        <w:gridCol w:w="254"/>
        <w:gridCol w:w="254"/>
        <w:gridCol w:w="258"/>
        <w:gridCol w:w="109"/>
        <w:gridCol w:w="109"/>
        <w:gridCol w:w="109"/>
        <w:gridCol w:w="269"/>
        <w:gridCol w:w="269"/>
        <w:gridCol w:w="273"/>
        <w:gridCol w:w="109"/>
        <w:gridCol w:w="109"/>
        <w:gridCol w:w="109"/>
        <w:gridCol w:w="414"/>
        <w:gridCol w:w="414"/>
        <w:gridCol w:w="416"/>
        <w:gridCol w:w="109"/>
        <w:gridCol w:w="109"/>
        <w:gridCol w:w="109"/>
        <w:gridCol w:w="444"/>
        <w:gridCol w:w="444"/>
        <w:gridCol w:w="446"/>
        <w:gridCol w:w="109"/>
        <w:gridCol w:w="109"/>
        <w:gridCol w:w="109"/>
        <w:gridCol w:w="964"/>
        <w:gridCol w:w="964"/>
        <w:gridCol w:w="967"/>
        <w:gridCol w:w="109"/>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Brit Morin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112,194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21"/>
        <w:gridCol w:w="223"/>
        <w:gridCol w:w="109"/>
        <w:gridCol w:w="109"/>
        <w:gridCol w:w="109"/>
        <w:gridCol w:w="1409"/>
        <w:gridCol w:w="1286"/>
        <w:gridCol w:w="1299"/>
        <w:gridCol w:w="109"/>
        <w:gridCol w:w="109"/>
        <w:gridCol w:w="109"/>
        <w:gridCol w:w="293"/>
        <w:gridCol w:w="293"/>
        <w:gridCol w:w="294"/>
        <w:gridCol w:w="109"/>
        <w:gridCol w:w="109"/>
        <w:gridCol w:w="109"/>
        <w:gridCol w:w="170"/>
        <w:gridCol w:w="170"/>
        <w:gridCol w:w="171"/>
        <w:gridCol w:w="109"/>
        <w:gridCol w:w="109"/>
        <w:gridCol w:w="109"/>
        <w:gridCol w:w="251"/>
        <w:gridCol w:w="251"/>
        <w:gridCol w:w="221"/>
        <w:gridCol w:w="109"/>
        <w:gridCol w:w="109"/>
        <w:gridCol w:w="109"/>
        <w:gridCol w:w="226"/>
        <w:gridCol w:w="226"/>
        <w:gridCol w:w="227"/>
        <w:gridCol w:w="109"/>
        <w:gridCol w:w="109"/>
        <w:gridCol w:w="109"/>
        <w:gridCol w:w="219"/>
        <w:gridCol w:w="219"/>
        <w:gridCol w:w="322"/>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r>
      <w:tr>
        <w:trPr/>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126xceo.htm">
              <w:r>
                <w:rPr>
                  <w:rStyle w:val="InternetLink"/>
                  <w:rFonts w:ascii="Times New Roman;serif" w:hAnsi="Times New Roman;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126xcfo.htm">
              <w:r>
                <w:rPr>
                  <w:rStyle w:val="InternetLink"/>
                  <w:rFonts w:ascii="Times New Roman;serif" w:hAnsi="Times New Roman;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life360q126xceo.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126xcfo.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pStyle w:val="TextBody"/>
        <w:bidi w:val="0"/>
        <w:spacing w:before="120" w:after="283"/>
        <w:ind w:left="0" w:right="0" w:hanging="720"/>
        <w:jc w:val="both"/>
        <w:rPr/>
      </w:pPr>
      <w:r>
        <w:rPr/>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0150414f3f9747199be2135f53b3692e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6430"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219"/>
        <w:gridCol w:w="219"/>
        <w:gridCol w:w="219"/>
        <w:gridCol w:w="1126"/>
        <w:gridCol w:w="1126"/>
        <w:gridCol w:w="161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Lauren Antonoff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Lauren Antonoff,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13"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Russell Burke,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28"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Life360, Inc. (the “Company”), on Form 10-Q for the quarter ended March 31, 2026 (the “Report”), I, Lauren Antonoff,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613"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Life360, Inc. (the “Company”), on Form 10-Q for the quarter ended March 31, 2026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628"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760/000119312524152060/d844406dex31.htm" TargetMode="External"/><Relationship Id="rId3" Type="http://schemas.openxmlformats.org/officeDocument/2006/relationships/hyperlink" Target="https://www.sec.gov/Archives/edgar/data/1581760/000119312524152060/d844406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22751</Words>
  <Characters>128834</Characters>
  <CharactersWithSpaces>150084</CharactersWithSpaces>
  <Paragraphs>2517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