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08/13/2025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113,386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118,950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2,714 restricted stock units previously granted, each of which represents a contingent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1/2 of the total number of shares on April 12, 2024 and thereafter vests and becomes exercisable as to 1/48th of the total number of shares in equal monthly installments,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Jay Sood,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08/15/2025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2025-08-15T19:17:19Z</dcterms:created>
  <dcterms:modified xsi:type="dcterms:W3CDTF">2025-08-15T19:17:19Z</dcterms:modified>
</cp:coreProperties>
</file>