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01/24/2025</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60" w:type="dxa"/>
            <w:vAlign w:val="bottom"/>
            <w:tcBorders>
              <w:bottom w:val="single" w:sz="8" w:color="9A9A9A"/>
            </w:tcBorders>
          </w:tcPr>
          <w:p>
            <w:pPr>
              <w:spacing w:after="0"/>
              <w:rPr>
                <w:sz w:val="14"/>
                <w:szCs w:val="14"/>
                <w:color w:val="auto"/>
              </w:rPr>
            </w:pPr>
          </w:p>
        </w:tc>
        <w:tc>
          <w:tcPr>
            <w:tcW w:w="168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00" w:type="dxa"/>
            <w:vAlign w:val="bottom"/>
            <w:gridSpan w:val="2"/>
            <w:vMerge w:val="continue"/>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   CA</w:t>
            </w:r>
          </w:p>
        </w:tc>
        <w:tc>
          <w:tcPr>
            <w:tcW w:w="168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94403</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6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01/24/2025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3,104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46.78</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148,754</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$46.51 to $47.05,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91,008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01/28/2025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2025-01-28T16:15:40Z</dcterms:created>
  <dcterms:modified xsi:type="dcterms:W3CDTF">2025-01-28T16:15:40Z</dcterms:modified>
</cp:coreProperties>
</file>