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12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80" w:type="dxa"/>
            <w:vAlign w:val="bottom"/>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Hulls Chris</w:t>
              </w:r>
            </w:hyperlink>
          </w:p>
        </w:tc>
        <w:tc>
          <w:tcPr>
            <w:tcW w:w="10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980" w:type="dxa"/>
            <w:vAlign w:val="bottom"/>
            <w:tcBorders>
              <w:bottom w:val="single" w:sz="8" w:color="0000EE"/>
            </w:tcBorders>
            <w:vMerge w:val="continue"/>
          </w:tcPr>
          <w:p>
            <w:pPr>
              <w:spacing w:after="0"/>
              <w:rPr>
                <w:sz w:val="5"/>
                <w:szCs w:val="5"/>
                <w:color w:val="auto"/>
              </w:rPr>
            </w:pPr>
          </w:p>
        </w:tc>
        <w:tc>
          <w:tcPr>
            <w:tcW w:w="10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12/02/2024</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000" w:type="dxa"/>
            <w:vAlign w:val="bottom"/>
            <w:gridSpan w:val="2"/>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0"/>
          <w:szCs w:val="20"/>
          <w:color w:val="auto"/>
        </w:rPr>
      </w:pPr>
    </w:p>
    <w:p>
      <w:pPr>
        <w:sectPr>
          <w:pgSz w:w="11900" w:h="16838" w:orient="portrait"/>
          <w:cols w:equalWidth="0" w:num="2">
            <w:col w:w="7660" w:space="75"/>
            <w:col w:w="3345"/>
          </w:cols>
          <w:pgMar w:left="460" w:top="219" w:right="359" w:bottom="1126"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12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12/02/2024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5,075</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49.31</w:t>
            </w:r>
          </w:p>
        </w:tc>
        <w:tc>
          <w:tcPr>
            <w:tcW w:w="1240" w:type="dxa"/>
            <w:vAlign w:val="bottom"/>
            <w:tcBorders>
              <w:bottom w:val="single" w:sz="8" w:color="2C2C2C"/>
            </w:tcBorders>
            <w:gridSpan w:val="2"/>
          </w:tcPr>
          <w:p>
            <w:pPr>
              <w:jc w:val="center"/>
              <w:ind w:right="80"/>
              <w:spacing w:after="0" w:line="320" w:lineRule="exact"/>
              <w:rPr>
                <w:sz w:val="20"/>
                <w:szCs w:val="20"/>
                <w:color w:val="auto"/>
              </w:rPr>
            </w:pPr>
            <w:r>
              <w:rPr>
                <w:rFonts w:ascii="Times New Roman" w:cs="Times New Roman" w:eastAsia="Times New Roman" w:hAnsi="Times New Roman"/>
                <w:sz w:val="34"/>
                <w:szCs w:val="34"/>
                <w:color w:val="0000FF"/>
                <w:w w:val="94"/>
                <w:vertAlign w:val="subscript"/>
              </w:rPr>
              <w:t>947,621</w:t>
            </w:r>
            <w:r>
              <w:rPr>
                <w:rFonts w:ascii="Times New Roman" w:cs="Times New Roman" w:eastAsia="Times New Roman" w:hAnsi="Times New Roman"/>
                <w:sz w:val="11"/>
                <w:szCs w:val="11"/>
                <w:color w:val="008000"/>
                <w:w w:val="94"/>
              </w:rPr>
              <w:t>(2)(3)(4)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7"/>
                <w:szCs w:val="17"/>
                <w:color w:val="0000FF"/>
              </w:rPr>
              <w:t>1,846</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common stock and the number of shares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55,684 restricted stock units ("RSUs"),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Due to an administrative error, the previous Form 4 filed on November 15, 2024 inadvertently reported, in Footnote 2 therein, the number of RSUs held by the Reporting Person as 32,010. The correct number of RSUs held by the Reporting Person as of November 15, 2024 was 65,690.</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ICCA Labs, LLC, an entity that holds an aggregate of 8,219 shares of the Issuer's common stock. The number of shares held as reported herein by the Reporting Person represents his proportionate ownership interest in ICCA Labs, LLC.</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Jay Sood, Attorney-in-Fact  12/04/2024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32498"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2024-12-04T19:08:05Z</dcterms:created>
  <dcterms:modified xsi:type="dcterms:W3CDTF">2024-12-04T19:08:05Z</dcterms:modified>
</cp:coreProperties>
</file>