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Goines Mark</w:t>
              </w:r>
            </w:hyperlink>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08/22/2025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08/22/2025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86.87</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71,809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Goines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Wong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5,881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$86.87 to $86.93,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55,537 directly held shares to the Goines Wong Living Trust, which transfer was exempt from Section 16 pursuant to Rule 16a-13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2,866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2585"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2025-08-26T18:11:47Z</dcterms:created>
  <dcterms:modified xsi:type="dcterms:W3CDTF">2025-08-26T18:11:47Z</dcterms:modified>
</cp:coreProperties>
</file>