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5120"/>
        <w:spacing w:after="0"/>
        <w:rPr>
          <w:sz w:val="20"/>
          <w:szCs w:val="20"/>
          <w:color w:val="auto"/>
        </w:rPr>
      </w:pPr>
      <w:r>
        <w:rPr>
          <w:rFonts w:ascii="Times New Roman" w:cs="Times New Roman" w:eastAsia="Times New Roman" w:hAnsi="Times New Roman"/>
          <w:sz w:val="15"/>
          <w:szCs w:val="15"/>
          <w:color w:val="auto"/>
        </w:rPr>
        <w:t>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19, 2023</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Life360,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80"/>
          </w:cols>
          <w:pgMar w:left="300" w:top="1078" w:right="319" w:bottom="0" w:gutter="0" w:footer="0" w:header="0"/>
        </w:sectPr>
      </w:pPr>
    </w:p>
    <w:p>
      <w:pPr>
        <w:spacing w:after="0" w:line="17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000-56424</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26-0197666</w:t>
      </w:r>
    </w:p>
    <w:p>
      <w:pPr>
        <w:spacing w:after="0" w:line="63" w:lineRule="exact"/>
        <w:rPr>
          <w:sz w:val="24"/>
          <w:szCs w:val="24"/>
          <w:color w:val="auto"/>
        </w:rPr>
      </w:pPr>
    </w:p>
    <w:p>
      <w:pPr>
        <w:sectPr>
          <w:pgSz w:w="11900" w:h="16838" w:orient="portrait"/>
          <w:cols w:equalWidth="0" w:num="3">
            <w:col w:w="4620" w:space="720"/>
            <w:col w:w="3000" w:space="720"/>
            <w:col w:w="2220"/>
          </w:cols>
          <w:pgMar w:left="300" w:top="1078" w:right="319" w:bottom="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30" w:lineRule="exact"/>
        <w:rPr>
          <w:sz w:val="24"/>
          <w:szCs w:val="24"/>
          <w:color w:val="auto"/>
        </w:rPr>
      </w:pPr>
    </w:p>
    <w:p>
      <w:pPr>
        <w:sectPr>
          <w:pgSz w:w="11900" w:h="16838" w:orient="portrait"/>
          <w:cols w:equalWidth="0" w:num="3">
            <w:col w:w="4140" w:space="720"/>
            <w:col w:w="3300" w:space="720"/>
            <w:col w:w="2400"/>
          </w:cols>
          <w:pgMar w:left="300" w:top="1078" w:right="31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539 Bryant Street, Suite 402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San Francisco, CA 94107</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(415) 484-5244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80"/>
          </w:cols>
          <w:pgMar w:left="300" w:top="1078" w:right="319" w:bottom="0" w:gutter="0" w:footer="0" w:header="0"/>
          <w:type w:val="continuous"/>
        </w:sectPr>
      </w:pPr>
    </w:p>
    <w:p>
      <w:pPr>
        <w:spacing w:after="0" w:line="8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5"/>
          <w:szCs w:val="15"/>
          <w:color w:val="auto"/>
        </w:rPr>
        <w:t>______________</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1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7"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jc w:val="both"/>
        <w:ind w:left="20" w:right="2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145415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5.02</w:t>
        <w:tab/>
        <w:t>Departure of Directors or Certain Officers; Election of Directors; Appointment of Certain Officers; Compensatory Arrangements of Certain Officers.</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Transition of David Rice</w:t>
      </w:r>
    </w:p>
    <w:p>
      <w:pPr>
        <w:spacing w:after="0" w:line="202" w:lineRule="exact"/>
        <w:rPr>
          <w:sz w:val="24"/>
          <w:szCs w:val="24"/>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January 18, 2023, the Company and David Rice agreed that Mr. Rice would be taking on a newly created role as GM of International and stepping down from his current role as Chief Operating Officer of the Company, effective immediately.</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Departure of CJ Prober</w:t>
      </w:r>
    </w:p>
    <w:p>
      <w:pPr>
        <w:spacing w:after="0" w:line="25" w:lineRule="exact"/>
        <w:rPr>
          <w:sz w:val="24"/>
          <w:szCs w:val="24"/>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January 18, 2023, Charles (CJ) Prober and Life360, Inc. (the “Company”) agreed that Mr. Prober will step down from his current positions as President of the Company and as the Chief Executive Officer of the Company’s subsidiary Tile, Inc., effective on the earlier of (i) 30 calendar days after the date that the Company appoints a chief operating officer (or equivalent role) of the Company and (ii) September 2, 2023 (the “Effective Date”).</w:t>
      </w:r>
    </w:p>
    <w:p>
      <w:pPr>
        <w:spacing w:after="0" w:line="165" w:lineRule="exact"/>
        <w:rPr>
          <w:sz w:val="24"/>
          <w:szCs w:val="24"/>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 copy of the Company’s press release announcing Mr. Prober’s departure and Mr. Rice’s transition to a new role is attached as Exhibit 99.1 to this Current Report on Form 8-K and is incorporated herein by reference.</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Mr. Prober’s Separation Agreement</w:t>
      </w:r>
    </w:p>
    <w:p>
      <w:pPr>
        <w:spacing w:after="0" w:line="202" w:lineRule="exact"/>
        <w:rPr>
          <w:sz w:val="24"/>
          <w:szCs w:val="24"/>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and Mr. Prober entered into a separation agreement (the “Separation Agreement”), pursuant to which, subject to Mr. Prober’s execution and non-revocation of a general release and waiver of claims in favor of the Company, Mr. Prober will receive within one week of the Effective Date the severance benefits to which he is entitled pursuant to the terms of his employment agreement with the Company in the case of a resignation for good reason, except that, instead of accelerating immediately upon the Effective Date, any stock options, restricted stock units or other equity awards granted to Mr. Prober that are outstanding as of the Effective Date shall continue to be exercisable and vest (as applicable) until July 6, 2024 (the “Equity Vesting Period”). Pursuant to</w:t>
      </w:r>
    </w:p>
    <w:p>
      <w:pPr>
        <w:sectPr>
          <w:pgSz w:w="11900" w:h="16838" w:orient="portrait"/>
          <w:cols w:equalWidth="0" w:num="1">
            <w:col w:w="11280"/>
          </w:cols>
          <w:pgMar w:left="300" w:top="1078" w:right="319" w:bottom="0" w:gutter="0" w:footer="0" w:header="0"/>
          <w:type w:val="continuous"/>
        </w:sectPr>
      </w:pPr>
    </w:p>
    <w:bookmarkStart w:id="1" w:name="page2"/>
    <w:bookmarkEnd w:id="1"/>
    <w:p>
      <w:pPr>
        <w:jc w:val="both"/>
        <w:spacing w:after="0" w:line="270" w:lineRule="auto"/>
        <w:rPr>
          <w:sz w:val="20"/>
          <w:szCs w:val="20"/>
          <w:color w:val="auto"/>
        </w:rPr>
      </w:pPr>
      <w:r>
        <w:rPr>
          <w:rFonts w:ascii="Times New Roman" w:cs="Times New Roman" w:eastAsia="Times New Roman" w:hAnsi="Times New Roman"/>
          <w:sz w:val="14"/>
          <w:szCs w:val="14"/>
          <w:color w:val="auto"/>
        </w:rPr>
        <w:t>the Separation Agreement, Mr. Prober also agreed to provide certain transition and advisory services as an independent contractor to the Company through the Equity Vesting Period. The foregoing description does not purport to be complete and is qualified in its entirety by reference to the Separation Agreement, which will be filed with the Securities and Exchange Commission as an exhibit to the Company’s Quarterly Report on Form 10-Q for the quarter ended March 31, 2023.</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0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4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3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Press Release, dated January 20, 2023 (Australian Eastern time)</w:t>
            </w:r>
          </w:p>
        </w:tc>
        <w:tc>
          <w:tcPr>
            <w:tcW w:w="6620" w:type="dxa"/>
            <w:vAlign w:val="bottom"/>
          </w:tcPr>
          <w:p>
            <w:pPr>
              <w:spacing w:after="0"/>
              <w:rPr>
                <w:sz w:val="21"/>
                <w:szCs w:val="21"/>
                <w:color w:val="auto"/>
              </w:rPr>
            </w:pPr>
          </w:p>
        </w:tc>
      </w:tr>
      <w:tr>
        <w:trPr>
          <w:trHeight w:val="234"/>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r>
        <w:trPr>
          <w:trHeight w:val="1179"/>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70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LIFE360, INC.</w:t>
            </w:r>
          </w:p>
        </w:tc>
      </w:tr>
      <w:tr>
        <w:trPr>
          <w:trHeight w:val="38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January 19, 2023</w:t>
            </w:r>
          </w:p>
        </w:tc>
        <w:tc>
          <w:tcPr>
            <w:tcW w:w="220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Russell Burke</w:t>
            </w:r>
          </w:p>
        </w:tc>
      </w:tr>
      <w:tr>
        <w:trPr>
          <w:trHeight w:val="175"/>
        </w:trPr>
        <w:tc>
          <w:tcPr>
            <w:tcW w:w="6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Burke</w:t>
            </w:r>
          </w:p>
        </w:tc>
      </w:tr>
    </w:tbl>
    <w:p>
      <w:pPr>
        <w:spacing w:after="0" w:line="6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929"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2023-01-19T15:43:42Z</dcterms:created>
  <dcterms:modified xsi:type="dcterms:W3CDTF">2023-01-19T15:43:42Z</dcterms:modified>
</cp:coreProperties>
</file>