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0001989267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Stick Susan 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31165.00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20130.00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16865.00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19500.00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05/12/2025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23445.00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05/27/2025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31115.00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06/06/2025 3387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218770.40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31560.00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06/25/2025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4160" w:space="140"/>
            <w:col w:w="694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4"/>
        </w:trPr>
        <w:tc>
          <w:tcPr>
            <w:tcW w:w="2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60" w:type="dxa"/>
            <w:vAlign w:val="bottom"/>
          </w:tcPr>
          <w:p>
            <w:pPr>
              <w:ind w:left="1720"/>
              <w:spacing w:after="0" w:line="244" w:lineRule="exact"/>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40" w:type="dxa"/>
            <w:vAlign w:val="bottom"/>
            <w:vMerge w:val="continue"/>
          </w:tcPr>
          <w:p>
            <w:pPr>
              <w:spacing w:after="0"/>
              <w:rPr>
                <w:sz w:val="13"/>
                <w:szCs w:val="13"/>
                <w:color w:val="auto"/>
              </w:rPr>
            </w:pPr>
          </w:p>
        </w:tc>
        <w:tc>
          <w:tcPr>
            <w:tcW w:w="796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rPr>
              <w:t>Services LLC, as attorney-in-fact for Susan Stick</w:t>
            </w: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7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2025-06-25T09:47:02Z</dcterms:created>
  <dcterms:modified xsi:type="dcterms:W3CDTF">2025-06-25T09:47:02Z</dcterms:modified>
</cp:coreProperties>
</file>