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870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331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Hulls Chris</w:t>
              </w:r>
            </w:hyperlink>
          </w:p>
        </w:tc>
        <w:tc>
          <w:tcPr>
            <w:tcW w:w="15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Life360,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LIF</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920" w:type="dxa"/>
            <w:vAlign w:val="bottom"/>
            <w:tcBorders>
              <w:bottom w:val="single" w:sz="8" w:color="0000EE"/>
            </w:tcBorders>
            <w:vMerge w:val="continue"/>
          </w:tcPr>
          <w:p>
            <w:pPr>
              <w:spacing w:after="0"/>
              <w:rPr>
                <w:sz w:val="5"/>
                <w:szCs w:val="5"/>
                <w:color w:val="auto"/>
              </w:rPr>
            </w:pPr>
          </w:p>
        </w:tc>
        <w:tc>
          <w:tcPr>
            <w:tcW w:w="1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5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11/25/2025</w:t>
            </w:r>
          </w:p>
        </w:tc>
        <w:tc>
          <w:tcPr>
            <w:tcW w:w="2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LIFE360, INC.</w:t>
            </w:r>
          </w:p>
        </w:tc>
        <w:tc>
          <w:tcPr>
            <w:tcW w:w="12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94403</w:t>
            </w: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74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Form: 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40" w:type="dxa"/>
            <w:vAlign w:val="bottom"/>
          </w:tcPr>
          <w:p>
            <w:pPr>
              <w:jc w:val="center"/>
              <w:ind w:left="604"/>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5"/>
              </w:rPr>
              <w:t>11/25/2025</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208,987</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2.15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685,665</w:t>
            </w:r>
            <w:r>
              <w:rPr>
                <w:rFonts w:ascii="Times New Roman" w:cs="Times New Roman" w:eastAsia="Times New Roman" w:hAnsi="Times New Roman"/>
                <w:sz w:val="21"/>
                <w:szCs w:val="21"/>
                <w:color w:val="008000"/>
                <w:w w:val="88"/>
                <w:vertAlign w:val="superscript"/>
              </w:rPr>
              <w:t>(1)(2)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5"/>
              </w:rPr>
              <w:t>11/25/2025</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95,833</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13.35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781,498</w:t>
            </w:r>
            <w:r>
              <w:rPr>
                <w:rFonts w:ascii="Times New Roman" w:cs="Times New Roman" w:eastAsia="Times New Roman" w:hAnsi="Times New Roman"/>
                <w:sz w:val="21"/>
                <w:szCs w:val="21"/>
                <w:color w:val="008000"/>
                <w:w w:val="88"/>
                <w:vertAlign w:val="superscript"/>
              </w:rPr>
              <w:t>(1)(2)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5"/>
              </w:rPr>
              <w:t>11/25/2025</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226,556</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76.91</w:t>
            </w:r>
            <w:r>
              <w:rPr>
                <w:rFonts w:ascii="Times New Roman" w:cs="Times New Roman" w:eastAsia="Times New Roman" w:hAnsi="Times New Roman"/>
                <w:sz w:val="21"/>
                <w:szCs w:val="21"/>
                <w:color w:val="008000"/>
                <w:w w:val="90"/>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554,942</w:t>
            </w:r>
            <w:r>
              <w:rPr>
                <w:rFonts w:ascii="Times New Roman" w:cs="Times New Roman" w:eastAsia="Times New Roman" w:hAnsi="Times New Roman"/>
                <w:sz w:val="21"/>
                <w:szCs w:val="21"/>
                <w:color w:val="008000"/>
                <w:w w:val="88"/>
                <w:vertAlign w:val="superscript"/>
              </w:rPr>
              <w:t>(1)(2)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5"/>
              </w:rPr>
              <w:t>11/25/2025</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80,193</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77.56</w:t>
            </w:r>
            <w:r>
              <w:rPr>
                <w:rFonts w:ascii="Times New Roman" w:cs="Times New Roman" w:eastAsia="Times New Roman" w:hAnsi="Times New Roman"/>
                <w:sz w:val="21"/>
                <w:szCs w:val="21"/>
                <w:color w:val="008000"/>
                <w:w w:val="90"/>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474,749</w:t>
            </w:r>
            <w:r>
              <w:rPr>
                <w:rFonts w:ascii="Times New Roman" w:cs="Times New Roman" w:eastAsia="Times New Roman" w:hAnsi="Times New Roman"/>
                <w:sz w:val="21"/>
                <w:szCs w:val="21"/>
                <w:color w:val="008000"/>
                <w:w w:val="88"/>
                <w:vertAlign w:val="superscript"/>
              </w:rPr>
              <w:t>(1)(2)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5"/>
              </w:rPr>
              <w:t>11/25/2025</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78.38</w:t>
            </w:r>
            <w:r>
              <w:rPr>
                <w:rFonts w:ascii="Times New Roman" w:cs="Times New Roman" w:eastAsia="Times New Roman" w:hAnsi="Times New Roman"/>
                <w:sz w:val="21"/>
                <w:szCs w:val="21"/>
                <w:color w:val="008000"/>
                <w:w w:val="90"/>
                <w:vertAlign w:val="superscript"/>
              </w:rPr>
              <w:t>(5)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469,749</w:t>
            </w:r>
            <w:r>
              <w:rPr>
                <w:rFonts w:ascii="Times New Roman" w:cs="Times New Roman" w:eastAsia="Times New Roman" w:hAnsi="Times New Roman"/>
                <w:sz w:val="21"/>
                <w:szCs w:val="21"/>
                <w:color w:val="008000"/>
                <w:w w:val="88"/>
                <w:vertAlign w:val="superscript"/>
              </w:rPr>
              <w:t>(1)(2)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5"/>
              </w:rPr>
              <w:t>11/25/2025</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25"/>
                <w:szCs w:val="25"/>
                <w:color w:val="0000FF"/>
                <w:w w:val="88"/>
                <w:vertAlign w:val="subscript"/>
              </w:rPr>
              <w:t>G</w:t>
            </w:r>
            <w:r>
              <w:rPr>
                <w:rFonts w:ascii="Times New Roman" w:cs="Times New Roman" w:eastAsia="Times New Roman" w:hAnsi="Times New Roman"/>
                <w:sz w:val="11"/>
                <w:szCs w:val="11"/>
                <w:color w:val="008000"/>
                <w:w w:val="88"/>
              </w:rPr>
              <w:t>(6)</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62,500</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407,249</w:t>
            </w:r>
            <w:r>
              <w:rPr>
                <w:rFonts w:ascii="Times New Roman" w:cs="Times New Roman" w:eastAsia="Times New Roman" w:hAnsi="Times New Roman"/>
                <w:sz w:val="21"/>
                <w:szCs w:val="21"/>
                <w:color w:val="008000"/>
                <w:w w:val="88"/>
                <w:vertAlign w:val="superscript"/>
              </w:rPr>
              <w:t>(1)(2)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5"/>
              </w:rPr>
              <w:t>11/26/2025</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48,164</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8.19</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455,413</w:t>
            </w:r>
            <w:r>
              <w:rPr>
                <w:rFonts w:ascii="Times New Roman" w:cs="Times New Roman" w:eastAsia="Times New Roman" w:hAnsi="Times New Roman"/>
                <w:sz w:val="21"/>
                <w:szCs w:val="21"/>
                <w:color w:val="008000"/>
                <w:w w:val="88"/>
                <w:vertAlign w:val="superscript"/>
              </w:rPr>
              <w:t>(1)(2)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5"/>
              </w:rPr>
              <w:t>11/26/2025</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100,465</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78.62</w:t>
            </w:r>
            <w:r>
              <w:rPr>
                <w:rFonts w:ascii="Times New Roman" w:cs="Times New Roman" w:eastAsia="Times New Roman" w:hAnsi="Times New Roman"/>
                <w:sz w:val="21"/>
                <w:szCs w:val="21"/>
                <w:color w:val="008000"/>
                <w:w w:val="90"/>
                <w:vertAlign w:val="superscript"/>
              </w:rPr>
              <w:t>(7)</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354,948</w:t>
            </w:r>
            <w:r>
              <w:rPr>
                <w:rFonts w:ascii="Times New Roman" w:cs="Times New Roman" w:eastAsia="Times New Roman" w:hAnsi="Times New Roman"/>
                <w:sz w:val="21"/>
                <w:szCs w:val="21"/>
                <w:color w:val="008000"/>
                <w:w w:val="88"/>
                <w:vertAlign w:val="superscript"/>
              </w:rPr>
              <w:t>(1)(2)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604"/>
              <w:spacing w:after="0"/>
              <w:rPr>
                <w:sz w:val="20"/>
                <w:szCs w:val="20"/>
                <w:color w:val="auto"/>
              </w:rPr>
            </w:pPr>
            <w:r>
              <w:rPr>
                <w:rFonts w:ascii="Times New Roman" w:cs="Times New Roman" w:eastAsia="Times New Roman" w:hAnsi="Times New Roman"/>
                <w:sz w:val="17"/>
                <w:szCs w:val="17"/>
                <w:color w:val="0000FF"/>
                <w:w w:val="95"/>
              </w:rPr>
              <w:t>11/26/2025</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19,535</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79.11</w:t>
            </w:r>
            <w:r>
              <w:rPr>
                <w:rFonts w:ascii="Times New Roman" w:cs="Times New Roman" w:eastAsia="Times New Roman" w:hAnsi="Times New Roman"/>
                <w:sz w:val="21"/>
                <w:szCs w:val="21"/>
                <w:color w:val="008000"/>
                <w:w w:val="90"/>
                <w:vertAlign w:val="superscript"/>
              </w:rPr>
              <w:t>(8)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8"/>
              </w:rPr>
              <w:t>335,413</w:t>
            </w:r>
            <w:r>
              <w:rPr>
                <w:rFonts w:ascii="Times New Roman" w:cs="Times New Roman" w:eastAsia="Times New Roman" w:hAnsi="Times New Roman"/>
                <w:sz w:val="21"/>
                <w:szCs w:val="21"/>
                <w:color w:val="008000"/>
                <w:w w:val="88"/>
                <w:vertAlign w:val="superscript"/>
              </w:rPr>
              <w:t>(1)(2)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Robin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center"/>
              <w:spacing w:after="0" w:line="204" w:lineRule="exact"/>
              <w:rPr>
                <w:sz w:val="20"/>
                <w:szCs w:val="20"/>
                <w:color w:val="auto"/>
              </w:rPr>
            </w:pPr>
            <w:r>
              <w:rPr>
                <w:rFonts w:ascii="Times New Roman" w:cs="Times New Roman" w:eastAsia="Times New Roman" w:hAnsi="Times New Roman"/>
                <w:sz w:val="17"/>
                <w:szCs w:val="17"/>
                <w:color w:val="0000FF"/>
                <w:w w:val="92"/>
              </w:rPr>
              <w:t>195,312</w:t>
            </w:r>
            <w:r>
              <w:rPr>
                <w:rFonts w:ascii="Times New Roman" w:cs="Times New Roman" w:eastAsia="Times New Roman" w:hAnsi="Times New Roman"/>
                <w:sz w:val="21"/>
                <w:szCs w:val="21"/>
                <w:color w:val="008000"/>
                <w:w w:val="92"/>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center"/>
              <w:spacing w:after="0" w:line="204" w:lineRule="exact"/>
              <w:rPr>
                <w:sz w:val="20"/>
                <w:szCs w:val="20"/>
                <w:color w:val="auto"/>
              </w:rPr>
            </w:pPr>
            <w:r>
              <w:rPr>
                <w:rFonts w:ascii="Times New Roman" w:cs="Times New Roman" w:eastAsia="Times New Roman" w:hAnsi="Times New Roman"/>
                <w:sz w:val="17"/>
                <w:szCs w:val="17"/>
                <w:color w:val="0000FF"/>
                <w:w w:val="92"/>
              </w:rPr>
              <w:t>195,312</w:t>
            </w:r>
            <w:r>
              <w:rPr>
                <w:rFonts w:ascii="Times New Roman" w:cs="Times New Roman" w:eastAsia="Times New Roman" w:hAnsi="Times New Roman"/>
                <w:sz w:val="21"/>
                <w:szCs w:val="21"/>
                <w:color w:val="008000"/>
                <w:w w:val="92"/>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195,312</w:t>
            </w:r>
            <w:r>
              <w:rPr>
                <w:rFonts w:ascii="Times New Roman" w:cs="Times New Roman" w:eastAsia="Times New Roman" w:hAnsi="Times New Roman"/>
                <w:sz w:val="21"/>
                <w:szCs w:val="21"/>
                <w:color w:val="008000"/>
                <w:w w:val="92"/>
                <w:vertAlign w:val="superscript"/>
              </w:rPr>
              <w:t>(9)</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Mckenzie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center"/>
              <w:spacing w:after="0" w:line="204" w:lineRule="exact"/>
              <w:rPr>
                <w:sz w:val="20"/>
                <w:szCs w:val="20"/>
                <w:color w:val="auto"/>
              </w:rPr>
            </w:pPr>
            <w:r>
              <w:rPr>
                <w:rFonts w:ascii="Times New Roman" w:cs="Times New Roman" w:eastAsia="Times New Roman" w:hAnsi="Times New Roman"/>
                <w:sz w:val="17"/>
                <w:szCs w:val="17"/>
                <w:color w:val="0000FF"/>
                <w:w w:val="87"/>
              </w:rPr>
              <w:t>1,846</w:t>
            </w:r>
            <w:r>
              <w:rPr>
                <w:rFonts w:ascii="Times New Roman" w:cs="Times New Roman" w:eastAsia="Times New Roman" w:hAnsi="Times New Roman"/>
                <w:sz w:val="21"/>
                <w:szCs w:val="21"/>
                <w:color w:val="008000"/>
                <w:w w:val="87"/>
                <w:vertAlign w:val="superscript"/>
              </w:rPr>
              <w:t>(10)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ICCA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Labs,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2701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2701925"/>
                    </a:xfrm>
                    <a:prstGeom prst="rect">
                      <a:avLst/>
                    </a:prstGeom>
                    <a:noFill/>
                  </pic:spPr>
                </pic:pic>
              </a:graphicData>
            </a:graphic>
          </wp:anchor>
        </w:drawing>
        <w:t>Table II - Derivative Securities Acquired, Disposed of, or Beneficially Owned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11/25/2025</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60" w:type="dxa"/>
            <w:vAlign w:val="bottom"/>
          </w:tcPr>
          <w:p>
            <w:pPr>
              <w:jc w:val="center"/>
              <w:ind w:left="261"/>
              <w:spacing w:after="0"/>
              <w:rPr>
                <w:sz w:val="20"/>
                <w:szCs w:val="20"/>
                <w:color w:val="auto"/>
              </w:rPr>
            </w:pPr>
            <w:r>
              <w:rPr>
                <w:rFonts w:ascii="Times New Roman" w:cs="Times New Roman" w:eastAsia="Times New Roman" w:hAnsi="Times New Roman"/>
                <w:sz w:val="13"/>
                <w:szCs w:val="13"/>
                <w:color w:val="0000FF"/>
                <w:w w:val="99"/>
              </w:rPr>
              <w:t>208,987</w:t>
            </w: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10/24/2027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7"/>
              </w:rPr>
              <w:t>208,987</w:t>
            </w: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ind w:left="18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13.35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11/25/2025</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60" w:type="dxa"/>
            <w:vAlign w:val="bottom"/>
            <w:vMerge w:val="restart"/>
          </w:tcPr>
          <w:p>
            <w:pPr>
              <w:jc w:val="center"/>
              <w:ind w:left="261"/>
              <w:spacing w:after="0"/>
              <w:rPr>
                <w:sz w:val="20"/>
                <w:szCs w:val="20"/>
                <w:color w:val="auto"/>
              </w:rPr>
            </w:pPr>
            <w:r>
              <w:rPr>
                <w:rFonts w:ascii="Times New Roman" w:cs="Times New Roman" w:eastAsia="Times New Roman" w:hAnsi="Times New Roman"/>
                <w:sz w:val="13"/>
                <w:szCs w:val="13"/>
                <w:color w:val="0000FF"/>
                <w:w w:val="94"/>
              </w:rPr>
              <w:t>95,833</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(11)</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02/01/2027</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95,833</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4,167</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8.19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11/26/2025</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60" w:type="dxa"/>
            <w:vAlign w:val="bottom"/>
            <w:vMerge w:val="restart"/>
          </w:tcPr>
          <w:p>
            <w:pPr>
              <w:jc w:val="center"/>
              <w:ind w:left="261"/>
              <w:spacing w:after="0"/>
              <w:rPr>
                <w:sz w:val="20"/>
                <w:szCs w:val="20"/>
                <w:color w:val="auto"/>
              </w:rPr>
            </w:pPr>
            <w:r>
              <w:rPr>
                <w:rFonts w:ascii="Times New Roman" w:cs="Times New Roman" w:eastAsia="Times New Roman" w:hAnsi="Times New Roman"/>
                <w:sz w:val="13"/>
                <w:szCs w:val="13"/>
                <w:color w:val="0000FF"/>
                <w:w w:val="94"/>
              </w:rPr>
              <w:t>48,164</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05/20/2028</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48,164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233,801</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20" w:right="46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19"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137,853 restricted stock units previously granted, each of which represents a contingent right to receive one share of the Issuer's common stock upon vesting.</w:t>
      </w:r>
    </w:p>
    <w:p>
      <w:pPr>
        <w:spacing w:after="0" w:line="41" w:lineRule="exact"/>
        <w:rPr>
          <w:rFonts w:ascii="Times New Roman" w:cs="Times New Roman" w:eastAsia="Times New Roman" w:hAnsi="Times New Roman"/>
          <w:sz w:val="13"/>
          <w:szCs w:val="13"/>
          <w:color w:val="008000"/>
        </w:rPr>
      </w:pPr>
    </w:p>
    <w:p>
      <w:pPr>
        <w:jc w:val="both"/>
        <w:ind w:left="20" w:right="240"/>
        <w:spacing w:after="0" w:line="287" w:lineRule="auto"/>
        <w:tabs>
          <w:tab w:leader="none" w:pos="1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the weighted average price. These shares were sold in multiple transactions at prices ranging from $76.25 to $77.245,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ind w:left="20" w:right="240"/>
        <w:spacing w:after="0" w:line="287" w:lineRule="auto"/>
        <w:tabs>
          <w:tab w:leader="none" w:pos="1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the weighted average price. These shares were sold in multiple transactions at prices ranging from $77.25 to $78.21,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ind w:left="20" w:right="240"/>
        <w:spacing w:after="0" w:line="287" w:lineRule="auto"/>
        <w:tabs>
          <w:tab w:leader="none" w:pos="1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the weighted average price. These shares were sold in multiple transactions at prices ranging from $78.32 to $78.43,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ind w:left="20" w:right="30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reflects a bona fide gift of the Issuer's stock to a donor-advised fund (DAF) for charitable purposes. The Reporting Person retains no beneficial ownership or control over the donated securities following the contribution.</w:t>
      </w:r>
    </w:p>
    <w:p>
      <w:pPr>
        <w:spacing w:after="0" w:line="19" w:lineRule="exact"/>
        <w:rPr>
          <w:rFonts w:ascii="Times New Roman" w:cs="Times New Roman" w:eastAsia="Times New Roman" w:hAnsi="Times New Roman"/>
          <w:sz w:val="13"/>
          <w:szCs w:val="13"/>
          <w:color w:val="008000"/>
        </w:rPr>
      </w:pPr>
    </w:p>
    <w:p>
      <w:pPr>
        <w:jc w:val="both"/>
        <w:ind w:left="20" w:right="240"/>
        <w:spacing w:after="0" w:line="287" w:lineRule="auto"/>
        <w:tabs>
          <w:tab w:leader="none" w:pos="1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the weighted average price. These shares were sold in multiple transactions at prices ranging from $78.02 to $79.015,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ind w:left="20" w:right="240"/>
        <w:spacing w:after="0" w:line="287" w:lineRule="auto"/>
        <w:tabs>
          <w:tab w:leader="none" w:pos="1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the weighted average price. These shares were sold in multiple transactions at prices ranging from $79.02 to $79.34,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585,938 CDIs.</w:t>
      </w:r>
    </w:p>
    <w:p>
      <w:pPr>
        <w:spacing w:after="0" w:line="41" w:lineRule="exact"/>
        <w:rPr>
          <w:rFonts w:ascii="Times New Roman" w:cs="Times New Roman" w:eastAsia="Times New Roman" w:hAnsi="Times New Roman"/>
          <w:sz w:val="13"/>
          <w:szCs w:val="13"/>
          <w:color w:val="008000"/>
        </w:rPr>
      </w:pPr>
    </w:p>
    <w:p>
      <w:pPr>
        <w:ind w:left="20" w:right="340"/>
        <w:spacing w:after="0" w:line="250" w:lineRule="auto"/>
        <w:tabs>
          <w:tab w:leader="none" w:pos="21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8,219 shares of the Issuer's common stock. The number of shares held as reported herein by the Reporting Person represents his proportionate ownership interest in ICCA Labs, LLC.</w:t>
      </w:r>
    </w:p>
    <w:p>
      <w:pPr>
        <w:spacing w:after="0" w:line="19" w:lineRule="exact"/>
        <w:rPr>
          <w:rFonts w:ascii="Times New Roman" w:cs="Times New Roman" w:eastAsia="Times New Roman" w:hAnsi="Times New Roman"/>
          <w:sz w:val="13"/>
          <w:szCs w:val="13"/>
          <w:color w:val="008000"/>
        </w:rPr>
      </w:pPr>
    </w:p>
    <w:p>
      <w:pPr>
        <w:ind w:left="200" w:hanging="180"/>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1" w:lineRule="exact"/>
        <w:rPr>
          <w:rFonts w:ascii="Times New Roman" w:cs="Times New Roman" w:eastAsia="Times New Roman" w:hAnsi="Times New Roman"/>
          <w:sz w:val="13"/>
          <w:szCs w:val="13"/>
          <w:color w:val="008000"/>
        </w:rPr>
      </w:pPr>
    </w:p>
    <w:p>
      <w:pPr>
        <w:ind w:left="20" w:right="280"/>
        <w:spacing w:after="0" w:line="250" w:lineRule="auto"/>
        <w:tabs>
          <w:tab w:leader="none" w:pos="21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as to 1/48th of the total number of shares in equal monthly installments beginning on February 1, 2022, until such time as the option is 100% vested, subject to the continuing employment of the Reporting Person on each vesting date.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ind w:left="20" w:right="260"/>
        <w:spacing w:after="0" w:line="250" w:lineRule="auto"/>
        <w:rPr>
          <w:sz w:val="20"/>
          <w:szCs w:val="20"/>
          <w:color w:val="auto"/>
        </w:rPr>
      </w:pPr>
      <w:r>
        <w:rPr>
          <w:rFonts w:ascii="Times New Roman" w:cs="Times New Roman" w:eastAsia="Times New Roman" w:hAnsi="Times New Roman"/>
          <w:sz w:val="13"/>
          <w:szCs w:val="13"/>
          <w:color w:val="008000"/>
        </w:rPr>
        <w:t>The vesting terms for the stock option with an exercise price of $8.19 reported herein were inadvertently misreported on the Reporting Person's Form 3/A filed on July 20, 2022, and have been corrected as of this Form 4.</w:t>
      </w:r>
    </w:p>
    <w:p>
      <w:pPr>
        <w:spacing w:after="0" w:line="2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Jay Sood, Attorney-in-Fact</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11/26/2025</w:t>
            </w:r>
          </w:p>
        </w:tc>
      </w:tr>
      <w:tr>
        <w:trPr>
          <w:trHeight w:val="224"/>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680"/>
        <w:spacing w:after="0" w:line="331"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2025-11-26T20:58:02Z</dcterms:created>
  <dcterms:modified xsi:type="dcterms:W3CDTF">2025-11-26T20:58:02Z</dcterms:modified>
</cp:coreProperties>
</file>