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29462d8k.htm"/>
      <w:bookmarkStart w:id="1" w:name="ksd62946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December 4,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Life360,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830" w:type="dxa"/>
        <w:jc w:val="left"/>
        <w:tblInd w:w="0" w:type="dxa"/>
        <w:tblLayout w:type="fixed"/>
        <w:tblCellMar>
          <w:top w:w="0" w:type="dxa"/>
          <w:left w:w="0" w:type="dxa"/>
          <w:bottom w:w="0" w:type="dxa"/>
          <w:right w:w="0" w:type="dxa"/>
        </w:tblCellMar>
      </w:tblPr>
      <w:tblGrid>
        <w:gridCol w:w="2285"/>
        <w:gridCol w:w="60"/>
        <w:gridCol w:w="105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000-56424</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26-0197666</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1900 South Norfolk Street, Suite 310</w:t>
      </w:r>
    </w:p>
    <w:p>
      <w:pPr>
        <w:pStyle w:val="TextBody"/>
        <w:bidi w:val="0"/>
        <w:spacing w:before="0" w:after="0"/>
        <w:jc w:val="center"/>
        <w:rPr>
          <w:rFonts w:ascii="Times New Roman" w:hAnsi="Times New Roman"/>
          <w:b/>
          <w:sz w:val="20"/>
        </w:rPr>
      </w:pPr>
      <w:r>
        <w:rPr>
          <w:rFonts w:ascii="Times New Roman" w:hAnsi="Times New Roman"/>
          <w:b/>
          <w:sz w:val="20"/>
        </w:rPr>
        <w:t>San Mateo, CA 94403</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(415) 484-5244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220" w:type="dxa"/>
        <w:jc w:val="left"/>
        <w:tblInd w:w="0" w:type="dxa"/>
        <w:tblLayout w:type="fixed"/>
        <w:tblCellMar>
          <w:top w:w="0" w:type="dxa"/>
          <w:left w:w="0" w:type="dxa"/>
          <w:bottom w:w="0" w:type="dxa"/>
          <w:right w:w="0" w:type="dxa"/>
        </w:tblCellMar>
      </w:tblPr>
      <w:tblGrid>
        <w:gridCol w:w="980"/>
        <w:gridCol w:w="2240"/>
      </w:tblGrid>
      <w:tr>
        <w:trPr/>
        <w:tc>
          <w:tcPr>
            <w:tcW w:w="980"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Life360, Inc. (the “Company”) is furnishing this Item 7.01 of this Current Report on Form 8-K in connection with the disclosure of information, in the form of the textual information from a disclosure with the Australian Securities Exchange (“ASX”) and the textual information from an Appendix 3Y issued in connection with ASX regulations. Both the ASX Disclosure and Appendix 3Y were issued on December 4, 2023. A copy of the ASX Disclosure is furnished as Exhibit 99.1 and a copy of the Appendix 3Y is furnished as Exhibit 99.2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Christopher Hulls, the Chief Executive Officer and a Director of the Company repaid a personal loan facility with a third party lender. On December 4, 2023, Mr. Hulls announced his sale of 810,000 CDIs on the market, equivalent to approximately US$4 million, to cover personal tax obligations related to the settlement of this loan and this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(including Exhibits 99.1 and 99.2) is furnished pursuant to Item 7.01 and shall not be deemed to be “filed” for the purpose of Section 18 of the Securities and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This Item 7.01 of this Current Report on Form 8-K will not be deemed an admission as to the materiality of any information in this Item 7.01 that is required to be disclosed solely be Regulation FD. </w:t>
      </w:r>
    </w:p>
    <w:p>
      <w:pPr>
        <w:pStyle w:val="TextBody"/>
        <w:bidi w:val="0"/>
        <w:spacing w:before="240" w:after="0"/>
        <w:jc w:val="left"/>
        <w:rPr>
          <w:rFonts w:ascii="Times New Roman" w:hAnsi="Times New Roman"/>
          <w:sz w:val="20"/>
        </w:rPr>
      </w:pPr>
      <w:r>
        <w:rPr>
          <w:rFonts w:ascii="Times New Roman" w:hAnsi="Times New Roman"/>
          <w:sz w:val="20"/>
        </w:rPr>
        <w:t xml:space="preserve">The text included with this Item 7.01 of this Current Report on Form 8-K will be available on our website located at www.life360.com, although we reserve the right to discontinue that availability at any time.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629462dex991.htm">
              <w:r>
                <w:rPr>
                  <w:rStyle w:val="InternetLink"/>
                </w:rPr>
                <w:t xml:space="preserve">ASX Disclosure of the Registrant, dated December 4, 2023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629462dex992.htm">
              <w:r>
                <w:rPr>
                  <w:rStyle w:val="InternetLink"/>
                </w:rPr>
                <w:t xml:space="preserve">Appendix 3Y of the Registrant for Mr. Hulls, dated December 4, 2023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273" w:type="dxa"/>
        <w:jc w:val="left"/>
        <w:tblInd w:w="0" w:type="dxa"/>
        <w:tblLayout w:type="fixed"/>
        <w:tblCellMar>
          <w:top w:w="0" w:type="dxa"/>
          <w:left w:w="0" w:type="dxa"/>
          <w:bottom w:w="0" w:type="dxa"/>
          <w:right w:w="0" w:type="dxa"/>
        </w:tblCellMar>
      </w:tblPr>
      <w:tblGrid>
        <w:gridCol w:w="2480"/>
        <w:gridCol w:w="60"/>
        <w:gridCol w:w="23"/>
        <w:gridCol w:w="60"/>
        <w:gridCol w:w="365"/>
        <w:gridCol w:w="60"/>
        <w:gridCol w:w="222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650" w:type="dxa"/>
            <w:gridSpan w:val="3"/>
            <w:tcBorders/>
            <w:vAlign w:val="center"/>
          </w:tcPr>
          <w:p>
            <w:pPr>
              <w:pStyle w:val="TableContents"/>
              <w:bidi w:val="0"/>
              <w:spacing w:before="0" w:after="283"/>
              <w:jc w:val="left"/>
              <w:rPr>
                <w:b/>
              </w:rPr>
            </w:pPr>
            <w:r>
              <w:rPr>
                <w:b/>
              </w:rPr>
              <w:t>LIFE360,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Dated: December 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Russell Burke</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Russell Burke</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629462dex991.htm"/>
      <w:bookmarkStart w:id="3" w:name="ksd62946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20097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38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 December 2023 </w:t>
      </w:r>
    </w:p>
    <w:p>
      <w:pPr>
        <w:pStyle w:val="TextBody"/>
        <w:bidi w:val="0"/>
        <w:spacing w:before="240" w:after="0"/>
        <w:jc w:val="left"/>
        <w:rPr>
          <w:rFonts w:ascii="Times New Roman" w:hAnsi="Times New Roman"/>
          <w:b/>
          <w:sz w:val="20"/>
        </w:rPr>
      </w:pPr>
      <w:r>
        <w:rPr>
          <w:rFonts w:ascii="Times New Roman" w:hAnsi="Times New Roman"/>
          <w:b/>
          <w:sz w:val="20"/>
        </w:rPr>
        <w:t xml:space="preserve">CEO Share Sale </w:t>
      </w:r>
    </w:p>
    <w:p>
      <w:pPr>
        <w:pStyle w:val="TextBody"/>
        <w:bidi w:val="0"/>
        <w:spacing w:before="240" w:after="0"/>
        <w:jc w:val="left"/>
        <w:rPr>
          <w:rFonts w:ascii="Times New Roman" w:hAnsi="Times New Roman"/>
          <w:sz w:val="20"/>
        </w:rPr>
      </w:pPr>
      <w:r>
        <w:rPr>
          <w:rFonts w:ascii="Times New Roman" w:hAnsi="Times New Roman"/>
          <w:sz w:val="20"/>
        </w:rPr>
        <w:t xml:space="preserve">San Francisco area-based Life360, Inc. (Life360 or the Company) (ASX:360) Co-Founder and Chief Executive Officer, Chris Hulls, has sold a small percentage of his shares in the Company, equivalent to approximately US$4 million. </w:t>
      </w:r>
    </w:p>
    <w:p>
      <w:pPr>
        <w:pStyle w:val="TextBody"/>
        <w:bidi w:val="0"/>
        <w:spacing w:before="240" w:after="0"/>
        <w:jc w:val="left"/>
        <w:rPr>
          <w:rFonts w:ascii="Times New Roman" w:hAnsi="Times New Roman"/>
          <w:sz w:val="20"/>
        </w:rPr>
      </w:pPr>
      <w:r>
        <w:rPr>
          <w:rFonts w:ascii="Times New Roman" w:hAnsi="Times New Roman"/>
          <w:sz w:val="20"/>
        </w:rPr>
        <w:t xml:space="preserve">Mr Hulls said: I am undertaking this sale to cover personal tax obligations related to the June 2023 settlement of my previously disclosed share-backed loans and this transaction. The taxes are due beginning in January 2024 and as a result, this is the last trading window for me to sell to fund these obligations. As the overwhelming majority of my assets are in shares of Life360, this is my primary means to cover this liability. </w:t>
      </w:r>
    </w:p>
    <w:p>
      <w:pPr>
        <w:pStyle w:val="TextBody"/>
        <w:bidi w:val="0"/>
        <w:spacing w:before="240" w:after="0"/>
        <w:jc w:val="left"/>
        <w:rPr>
          <w:rFonts w:ascii="Times New Roman" w:hAnsi="Times New Roman"/>
          <w:sz w:val="20"/>
        </w:rPr>
      </w:pPr>
      <w:r>
        <w:rPr>
          <w:rFonts w:ascii="Times New Roman" w:hAnsi="Times New Roman"/>
          <w:sz w:val="20"/>
        </w:rPr>
        <w:t xml:space="preserve">While I do not have any other major liabilities coming due, I plan to slowly diversify my holdings over the next five years in-line with US market norms, where founders with significant concentration in their companies regularly implement conservative diversification plans. After this five-year period, I still expect the majority of my net worth will remain in Life360 shares. </w:t>
      </w:r>
    </w:p>
    <w:p>
      <w:pPr>
        <w:pStyle w:val="TextBody"/>
        <w:bidi w:val="0"/>
        <w:spacing w:before="240" w:after="0"/>
        <w:jc w:val="left"/>
        <w:rPr>
          <w:rFonts w:ascii="Times New Roman" w:hAnsi="Times New Roman"/>
          <w:sz w:val="20"/>
        </w:rPr>
      </w:pPr>
      <w:r>
        <w:rPr>
          <w:rFonts w:ascii="Times New Roman" w:hAnsi="Times New Roman"/>
          <w:sz w:val="20"/>
        </w:rPr>
        <w:t xml:space="preserve">I am discussing a process with the Company to provide market visibility into any future transactions while also complying with ASX and SEC regulations. In coming weeks, I will also be transferring additional shares into trusts for family members which will appear as a change in my holdings, however will not result in any additional tax liabilities or share sales.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Conference Call </w:t>
      </w:r>
    </w:p>
    <w:p>
      <w:pPr>
        <w:pStyle w:val="TextBody"/>
        <w:bidi w:val="0"/>
        <w:spacing w:before="240" w:after="0"/>
        <w:jc w:val="left"/>
        <w:rPr>
          <w:rFonts w:ascii="Times New Roman" w:hAnsi="Times New Roman"/>
          <w:sz w:val="20"/>
        </w:rPr>
      </w:pPr>
      <w:r>
        <w:rPr>
          <w:rFonts w:ascii="Times New Roman" w:hAnsi="Times New Roman"/>
          <w:sz w:val="20"/>
        </w:rPr>
        <w:t xml:space="preserve">An Investor Conference Call with Co-Founder and CEO Chris Hulls will be held today at 9.30am AEDT Tuesday 5 December (Monday 4 December 2023 US PT at 2.30pm). The call will be held as a Zoom audio webinar. </w:t>
      </w:r>
    </w:p>
    <w:p>
      <w:pPr>
        <w:pStyle w:val="TextBody"/>
        <w:bidi w:val="0"/>
        <w:spacing w:before="240" w:after="0"/>
        <w:jc w:val="left"/>
        <w:rPr>
          <w:rFonts w:ascii="Times New Roman" w:hAnsi="Times New Roman"/>
          <w:sz w:val="20"/>
        </w:rPr>
      </w:pPr>
      <w:r>
        <w:rPr>
          <w:rFonts w:ascii="Times New Roman" w:hAnsi="Times New Roman"/>
          <w:sz w:val="20"/>
        </w:rPr>
        <w:t xml:space="preserve">Participants wishing to ask a question should register and join via their browser </w:t>
      </w:r>
      <w:r>
        <w:rPr>
          <w:rFonts w:ascii="Times New Roman" w:hAnsi="Times New Roman"/>
          <w:b/>
          <w:sz w:val="20"/>
        </w:rPr>
        <w:t>here.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Participants joining via telephone will be in a listen only mode. </w:t>
      </w:r>
    </w:p>
    <w:p>
      <w:pPr>
        <w:pStyle w:val="TextBody"/>
        <w:bidi w:val="0"/>
        <w:spacing w:before="240" w:after="0"/>
        <w:jc w:val="left"/>
        <w:rPr>
          <w:rFonts w:ascii="Times New Roman" w:hAnsi="Times New Roman"/>
          <w:b/>
          <w:sz w:val="20"/>
        </w:rPr>
      </w:pPr>
      <w:r>
        <w:rPr>
          <w:rFonts w:ascii="Times New Roman" w:hAnsi="Times New Roman"/>
          <w:b/>
          <w:sz w:val="20"/>
        </w:rPr>
        <w:t xml:space="preserve">Dial in details </w:t>
      </w:r>
    </w:p>
    <w:p>
      <w:pPr>
        <w:pStyle w:val="TextBody"/>
        <w:bidi w:val="0"/>
        <w:spacing w:before="0" w:after="0"/>
        <w:jc w:val="left"/>
        <w:rPr>
          <w:rFonts w:ascii="Times New Roman" w:hAnsi="Times New Roman"/>
          <w:sz w:val="20"/>
        </w:rPr>
      </w:pPr>
      <w:r>
        <w:rPr>
          <w:rFonts w:ascii="Times New Roman" w:hAnsi="Times New Roman"/>
          <w:sz w:val="20"/>
        </w:rPr>
        <w:t xml:space="preserve">Australia : +61 2 8015 6011 </w:t>
      </w:r>
    </w:p>
    <w:p>
      <w:pPr>
        <w:pStyle w:val="TextBody"/>
        <w:bidi w:val="0"/>
        <w:spacing w:before="0" w:after="0"/>
        <w:jc w:val="left"/>
        <w:rPr>
          <w:rFonts w:ascii="Times New Roman" w:hAnsi="Times New Roman"/>
          <w:sz w:val="20"/>
        </w:rPr>
      </w:pPr>
      <w:r>
        <w:rPr>
          <w:rFonts w:ascii="Times New Roman" w:hAnsi="Times New Roman"/>
          <w:sz w:val="20"/>
        </w:rPr>
        <w:t xml:space="preserve">US : +1 669 444 9171 </w:t>
      </w:r>
    </w:p>
    <w:p>
      <w:pPr>
        <w:pStyle w:val="TextBody"/>
        <w:bidi w:val="0"/>
        <w:spacing w:before="0" w:after="0"/>
        <w:jc w:val="left"/>
        <w:rPr>
          <w:rFonts w:ascii="Times New Roman" w:hAnsi="Times New Roman"/>
          <w:sz w:val="20"/>
        </w:rPr>
      </w:pPr>
      <w:r>
        <w:rPr>
          <w:rFonts w:ascii="Times New Roman" w:hAnsi="Times New Roman"/>
          <w:sz w:val="20"/>
        </w:rPr>
        <w:t xml:space="preserve">Other countries : </w:t>
      </w:r>
      <w:r>
        <w:rPr>
          <w:rFonts w:ascii="Times New Roman" w:hAnsi="Times New Roman"/>
          <w:b/>
          <w:sz w:val="20"/>
        </w:rPr>
        <w:t xml:space="preserve">details </w:t>
      </w:r>
    </w:p>
    <w:p>
      <w:pPr>
        <w:pStyle w:val="TextBody"/>
        <w:bidi w:val="0"/>
        <w:spacing w:before="0" w:after="0"/>
        <w:jc w:val="left"/>
        <w:rPr>
          <w:rFonts w:ascii="Times New Roman" w:hAnsi="Times New Roman"/>
          <w:b/>
          <w:sz w:val="20"/>
        </w:rPr>
      </w:pPr>
      <w:r>
        <w:rPr>
          <w:rFonts w:ascii="Times New Roman" w:hAnsi="Times New Roman"/>
          <w:b/>
          <w:sz w:val="20"/>
        </w:rPr>
        <w:t xml:space="preserve">Meeting ID : 915 8721 8157 </w:t>
      </w:r>
    </w:p>
    <w:p>
      <w:pPr>
        <w:pStyle w:val="TextBody"/>
        <w:bidi w:val="0"/>
        <w:spacing w:before="240" w:after="0"/>
        <w:jc w:val="left"/>
        <w:rPr>
          <w:rFonts w:ascii="Times New Roman" w:hAnsi="Times New Roman"/>
          <w:sz w:val="20"/>
        </w:rPr>
      </w:pPr>
      <w:r>
        <w:rPr>
          <w:rFonts w:ascii="Times New Roman" w:hAnsi="Times New Roman"/>
          <w:sz w:val="20"/>
        </w:rPr>
        <w:t xml:space="preserve">A replay will be available after the call at https://investors.life360.com </w:t>
      </w:r>
    </w:p>
    <w:p>
      <w:pPr>
        <w:pStyle w:val="TextBody"/>
        <w:bidi w:val="0"/>
        <w:spacing w:before="360" w:after="0"/>
        <w:jc w:val="left"/>
        <w:rPr>
          <w:rFonts w:ascii="Times New Roman" w:hAnsi="Times New Roman"/>
          <w:b/>
          <w:sz w:val="20"/>
        </w:rPr>
      </w:pPr>
      <w:r>
        <w:rPr>
          <w:rFonts w:ascii="Times New Roman" w:hAnsi="Times New Roman"/>
          <w:b/>
          <w:sz w:val="20"/>
        </w:rPr>
        <w:t xml:space="preserve">Authorisation </w:t>
      </w:r>
    </w:p>
    <w:p>
      <w:pPr>
        <w:pStyle w:val="TextBody"/>
        <w:bidi w:val="0"/>
        <w:spacing w:before="120" w:after="0"/>
        <w:jc w:val="left"/>
        <w:rPr>
          <w:rFonts w:ascii="Times New Roman" w:hAnsi="Times New Roman"/>
          <w:sz w:val="20"/>
        </w:rPr>
      </w:pPr>
      <w:r>
        <w:rPr>
          <w:rFonts w:ascii="Times New Roman" w:hAnsi="Times New Roman"/>
          <w:sz w:val="20"/>
        </w:rPr>
        <w:t xml:space="preserve">John Coghlan, Chairman of Life360 authorized this announcement being given to ASX. </w:t>
      </w:r>
    </w:p>
    <w:p>
      <w:pPr>
        <w:pStyle w:val="TextBody"/>
        <w:bidi w:val="0"/>
        <w:spacing w:before="360" w:after="0"/>
        <w:jc w:val="left"/>
        <w:rPr>
          <w:rFonts w:ascii="Times New Roman" w:hAnsi="Times New Roman"/>
          <w:b/>
          <w:sz w:val="20"/>
        </w:rPr>
      </w:pPr>
      <w:r>
        <w:rPr>
          <w:rFonts w:ascii="Times New Roman" w:hAnsi="Times New Roman"/>
          <w:b/>
          <w:sz w:val="20"/>
        </w:rPr>
        <w:t xml:space="preserve">About Life360 </w:t>
      </w:r>
    </w:p>
    <w:p>
      <w:pPr>
        <w:pStyle w:val="TextBody"/>
        <w:bidi w:val="0"/>
        <w:spacing w:before="120" w:after="0"/>
        <w:jc w:val="left"/>
        <w:rPr>
          <w:rFonts w:ascii="Times New Roman" w:hAnsi="Times New Roman"/>
          <w:sz w:val="20"/>
        </w:rPr>
      </w:pPr>
      <w:r>
        <w:rPr>
          <w:rFonts w:ascii="Times New Roman" w:hAnsi="Times New Roman"/>
          <w:sz w:val="20"/>
        </w:rPr>
        <w:t xml:space="preserve">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the San Francisco area and had approximately 58 million monthly active users (MAU) as of September 30, 2023 located in more than 150 countries. For more information, please visit life360.com. </w:t>
      </w:r>
    </w:p>
    <w:p>
      <w:pPr>
        <w:pStyle w:val="TextBody"/>
        <w:bidi w:val="0"/>
        <w:spacing w:before="240" w:after="0"/>
        <w:jc w:val="left"/>
        <w:rPr>
          <w:rFonts w:ascii="Times New Roman" w:hAnsi="Times New Roman"/>
          <w:sz w:val="20"/>
        </w:rPr>
      </w:pPr>
      <w:r>
        <w:rPr>
          <w:rFonts w:ascii="Times New Roman" w:hAnsi="Times New Roman"/>
          <w:sz w:val="20"/>
        </w:rPr>
        <w:t xml:space="preserve">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9395"/>
        <w:gridCol w:w="122"/>
        <w:gridCol w:w="688"/>
      </w:tblGrid>
      <w:tr>
        <w:trPr/>
        <w:tc>
          <w:tcPr>
            <w:tcW w:w="93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9395" w:type="dxa"/>
            <w:tcBorders/>
          </w:tcPr>
          <w:p>
            <w:pPr>
              <w:pStyle w:val="TableContents"/>
              <w:bidi w:val="0"/>
              <w:spacing w:before="0" w:after="283"/>
              <w:jc w:val="left"/>
              <w:rPr/>
            </w:pPr>
            <w:r>
              <w:rPr/>
              <w:t>Life360, Inc. | ARBN 629 412 942 | 1900 S. Norfolk St, Ste 310, San Mateo, CA 94403 | investors.life360.com</w:t>
            </w:r>
          </w:p>
        </w:tc>
        <w:tc>
          <w:tcPr>
            <w:tcW w:w="122" w:type="dxa"/>
            <w:tcBorders/>
            <w:vAlign w:val="bottom"/>
          </w:tcPr>
          <w:p>
            <w:pPr>
              <w:pStyle w:val="TableContents"/>
              <w:bidi w:val="0"/>
              <w:spacing w:before="0" w:after="283"/>
              <w:jc w:val="left"/>
              <w:rPr/>
            </w:pPr>
            <w:r>
              <w:rPr/>
              <w:t>  </w:t>
            </w:r>
          </w:p>
        </w:tc>
        <w:tc>
          <w:tcPr>
            <w:tcW w:w="688" w:type="dxa"/>
            <w:tcBorders/>
          </w:tcPr>
          <w:p>
            <w:pPr>
              <w:pStyle w:val="TableContents"/>
              <w:bidi w:val="0"/>
              <w:spacing w:before="0" w:after="283"/>
              <w:jc w:val="right"/>
              <w:rPr/>
            </w:pPr>
            <w:r>
              <w:rPr/>
              <w:t>Page 1</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39"/>
        <w:gridCol w:w="120"/>
        <w:gridCol w:w="5046"/>
      </w:tblGrid>
      <w:tr>
        <w:trPr/>
        <w:tc>
          <w:tcPr>
            <w:tcW w:w="50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46" w:type="dxa"/>
            <w:tcBorders/>
            <w:vAlign w:val="center"/>
          </w:tcPr>
          <w:p>
            <w:pPr>
              <w:pStyle w:val="TableContents"/>
              <w:bidi w:val="0"/>
              <w:spacing w:before="0" w:after="283"/>
              <w:jc w:val="left"/>
              <w:rPr>
                <w:sz w:val="4"/>
                <w:szCs w:val="4"/>
              </w:rPr>
            </w:pPr>
            <w:r>
              <w:rPr>
                <w:sz w:val="4"/>
                <w:szCs w:val="4"/>
              </w:rPr>
            </w:r>
          </w:p>
        </w:tc>
      </w:tr>
      <w:tr>
        <w:trPr/>
        <w:tc>
          <w:tcPr>
            <w:tcW w:w="5039" w:type="dxa"/>
            <w:tcBorders/>
          </w:tcPr>
          <w:p>
            <w:pPr>
              <w:pStyle w:val="TableContents"/>
              <w:bidi w:val="0"/>
              <w:spacing w:before="0" w:after="283"/>
              <w:jc w:val="left"/>
              <w:rPr>
                <w:b/>
              </w:rPr>
            </w:pPr>
            <w:r>
              <w:rPr>
                <w:b/>
              </w:rPr>
              <w:t>Contacts</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sz w:val="4"/>
                <w:szCs w:val="4"/>
              </w:rPr>
            </w:pPr>
            <w:r>
              <w:rPr>
                <w:sz w:val="4"/>
                <w:szCs w:val="4"/>
              </w:rPr>
            </w:r>
          </w:p>
        </w:tc>
      </w:tr>
      <w:tr>
        <w:trPr>
          <w:trHeight w:val="240" w:hRule="atLeast"/>
        </w:trPr>
        <w:tc>
          <w:tcPr>
            <w:tcW w:w="5039"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r>
      <w:tr>
        <w:trPr/>
        <w:tc>
          <w:tcPr>
            <w:tcW w:w="5039" w:type="dxa"/>
            <w:tcBorders/>
          </w:tcPr>
          <w:p>
            <w:pPr>
              <w:pStyle w:val="TableContents"/>
              <w:bidi w:val="0"/>
              <w:spacing w:before="0" w:after="283"/>
              <w:jc w:val="left"/>
              <w:rPr/>
            </w:pPr>
            <w:r>
              <w:rPr/>
              <w:t>For Australian investor enquiries:</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pPr>
            <w:r>
              <w:rPr/>
              <w:t>For Australian media enquiries:</w:t>
            </w:r>
          </w:p>
        </w:tc>
      </w:tr>
      <w:tr>
        <w:trPr/>
        <w:tc>
          <w:tcPr>
            <w:tcW w:w="5039" w:type="dxa"/>
            <w:tcBorders/>
          </w:tcPr>
          <w:p>
            <w:pPr>
              <w:pStyle w:val="TableContents"/>
              <w:bidi w:val="0"/>
              <w:spacing w:before="0" w:after="283"/>
              <w:jc w:val="left"/>
              <w:rPr/>
            </w:pPr>
            <w:r>
              <w:rPr/>
              <w:t>Jolanta Masojada, +61 417 261 367</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pPr>
            <w:r>
              <w:rPr/>
              <w:t>Giles Rafferty, +61 481 467 903</w:t>
            </w:r>
          </w:p>
        </w:tc>
      </w:tr>
      <w:tr>
        <w:trPr/>
        <w:tc>
          <w:tcPr>
            <w:tcW w:w="5039" w:type="dxa"/>
            <w:tcBorders/>
          </w:tcPr>
          <w:p>
            <w:pPr>
              <w:pStyle w:val="TableContents"/>
              <w:bidi w:val="0"/>
              <w:spacing w:before="0" w:after="283"/>
              <w:jc w:val="left"/>
              <w:rPr>
                <w:u w:val="single"/>
              </w:rPr>
            </w:pPr>
            <w:r>
              <w:rPr>
                <w:u w:val="single"/>
              </w:rPr>
              <w:t>jmasojada@life360.com</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u w:val="single"/>
              </w:rPr>
            </w:pPr>
            <w:r>
              <w:rPr>
                <w:u w:val="single"/>
              </w:rPr>
              <w:t>grafferty@firstadvisers.com.au</w:t>
            </w:r>
          </w:p>
        </w:tc>
      </w:tr>
      <w:tr>
        <w:trPr>
          <w:trHeight w:val="240" w:hRule="atLeast"/>
        </w:trPr>
        <w:tc>
          <w:tcPr>
            <w:tcW w:w="5039"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r>
      <w:tr>
        <w:trPr/>
        <w:tc>
          <w:tcPr>
            <w:tcW w:w="5039" w:type="dxa"/>
            <w:tcBorders/>
          </w:tcPr>
          <w:p>
            <w:pPr>
              <w:pStyle w:val="TableContents"/>
              <w:bidi w:val="0"/>
              <w:spacing w:before="0" w:after="283"/>
              <w:jc w:val="left"/>
              <w:rPr/>
            </w:pPr>
            <w:r>
              <w:rPr/>
              <w:t>For U.S. investors</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pPr>
            <w:r>
              <w:rPr/>
              <w:t>For U.S. media inquiries:</w:t>
            </w:r>
          </w:p>
        </w:tc>
      </w:tr>
      <w:tr>
        <w:trPr>
          <w:trHeight w:val="120" w:hRule="atLeast"/>
        </w:trPr>
        <w:tc>
          <w:tcPr>
            <w:tcW w:w="5039" w:type="dxa"/>
            <w:tcBorders/>
            <w:vAlign w:val="center"/>
          </w:tcPr>
          <w:p>
            <w:pPr>
              <w:pStyle w:val="TableContents"/>
              <w:bidi w:val="0"/>
              <w:spacing w:before="0" w:after="283"/>
              <w:jc w:val="left"/>
              <w:rPr>
                <w:sz w:val="4"/>
                <w:szCs w:val="4"/>
              </w:rPr>
            </w:pPr>
            <w:r>
              <w:rPr>
                <w:sz w:val="4"/>
                <w:szCs w:val="4"/>
              </w:rPr>
            </w:r>
          </w:p>
        </w:tc>
        <w:tc>
          <w:tcPr>
            <w:tcW w:w="5166" w:type="dxa"/>
            <w:gridSpan w:val="2"/>
            <w:tcBorders/>
            <w:vAlign w:val="center"/>
          </w:tcPr>
          <w:p>
            <w:pPr>
              <w:pStyle w:val="TableContents"/>
              <w:bidi w:val="0"/>
              <w:spacing w:before="0" w:after="283"/>
              <w:jc w:val="left"/>
              <w:rPr>
                <w:sz w:val="4"/>
                <w:szCs w:val="4"/>
              </w:rPr>
            </w:pPr>
            <w:r>
              <w:rPr>
                <w:sz w:val="4"/>
                <w:szCs w:val="4"/>
              </w:rPr>
            </w:r>
          </w:p>
        </w:tc>
      </w:tr>
      <w:tr>
        <w:trPr/>
        <w:tc>
          <w:tcPr>
            <w:tcW w:w="5039" w:type="dxa"/>
            <w:tcBorders/>
          </w:tcPr>
          <w:p>
            <w:pPr>
              <w:pStyle w:val="TableContents"/>
              <w:bidi w:val="0"/>
              <w:spacing w:before="0" w:after="283"/>
              <w:jc w:val="left"/>
              <w:rPr>
                <w:u w:val="single"/>
              </w:rPr>
            </w:pPr>
            <w:r>
              <w:rPr>
                <w:u w:val="single"/>
              </w:rPr>
              <w:t>investors@life360.com</w:t>
            </w:r>
          </w:p>
        </w:tc>
        <w:tc>
          <w:tcPr>
            <w:tcW w:w="120" w:type="dxa"/>
            <w:tcBorders/>
            <w:vAlign w:val="bottom"/>
          </w:tcPr>
          <w:p>
            <w:pPr>
              <w:pStyle w:val="TableContents"/>
              <w:bidi w:val="0"/>
              <w:spacing w:before="0" w:after="283"/>
              <w:jc w:val="left"/>
              <w:rPr/>
            </w:pPr>
            <w:r>
              <w:rPr/>
              <w:t>  </w:t>
            </w:r>
          </w:p>
        </w:tc>
        <w:tc>
          <w:tcPr>
            <w:tcW w:w="5046" w:type="dxa"/>
            <w:tcBorders/>
          </w:tcPr>
          <w:p>
            <w:pPr>
              <w:pStyle w:val="TableContents"/>
              <w:bidi w:val="0"/>
              <w:spacing w:before="0" w:after="283"/>
              <w:jc w:val="left"/>
              <w:rPr>
                <w:u w:val="single"/>
              </w:rPr>
            </w:pPr>
            <w:r>
              <w:rPr>
                <w:u w:val="single"/>
              </w:rPr>
              <w:t>press@life360.com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9395"/>
        <w:gridCol w:w="122"/>
        <w:gridCol w:w="688"/>
      </w:tblGrid>
      <w:tr>
        <w:trPr/>
        <w:tc>
          <w:tcPr>
            <w:tcW w:w="939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9395" w:type="dxa"/>
            <w:tcBorders/>
          </w:tcPr>
          <w:p>
            <w:pPr>
              <w:pStyle w:val="TableContents"/>
              <w:bidi w:val="0"/>
              <w:spacing w:before="0" w:after="283"/>
              <w:jc w:val="left"/>
              <w:rPr/>
            </w:pPr>
            <w:r>
              <w:rPr/>
              <w:t>Life360, Inc. | ARBN 629 412 942 | 539 Bryant St, Suite 402, San Francisco, CA 94107 | investors.life360.com</w:t>
            </w:r>
          </w:p>
        </w:tc>
        <w:tc>
          <w:tcPr>
            <w:tcW w:w="122" w:type="dxa"/>
            <w:tcBorders/>
            <w:vAlign w:val="bottom"/>
          </w:tcPr>
          <w:p>
            <w:pPr>
              <w:pStyle w:val="TableContents"/>
              <w:bidi w:val="0"/>
              <w:spacing w:before="0" w:after="283"/>
              <w:jc w:val="left"/>
              <w:rPr/>
            </w:pPr>
            <w:r>
              <w:rPr/>
              <w:t>  </w:t>
            </w:r>
          </w:p>
        </w:tc>
        <w:tc>
          <w:tcPr>
            <w:tcW w:w="688" w:type="dxa"/>
            <w:tcBorders/>
          </w:tcPr>
          <w:p>
            <w:pPr>
              <w:pStyle w:val="TableContents"/>
              <w:bidi w:val="0"/>
              <w:spacing w:before="0" w:after="283"/>
              <w:jc w:val="right"/>
              <w:rPr/>
            </w:pPr>
            <w:r>
              <w:rPr/>
              <w:t>Page 2</w:t>
            </w:r>
          </w:p>
        </w:tc>
      </w:tr>
    </w:tbl>
    <w:p>
      <w:pPr>
        <w:pStyle w:val="TextBody"/>
        <w:bidi w:val="0"/>
        <w:spacing w:before="0" w:after="0"/>
        <w:jc w:val="right"/>
        <w:rPr>
          <w:rFonts w:ascii="Times New Roman" w:hAnsi="Times New Roman"/>
          <w:b/>
          <w:sz w:val="20"/>
        </w:rPr>
      </w:pPr>
      <w:bookmarkStart w:id="4" w:name="d629462dex992.htm"/>
      <w:bookmarkStart w:id="5" w:name="ksd629462dex992"/>
      <w:bookmarkEnd w:id="4"/>
      <w:bookmarkEnd w:id="5"/>
      <w:r>
        <w:rPr>
          <w:rFonts w:ascii="Times New Roman" w:hAnsi="Times New Roman"/>
          <w:b/>
          <w:sz w:val="20"/>
        </w:rPr>
        <w:t xml:space="preserve">Exhibit 99.2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right"/>
        <w:rPr>
          <w:rFonts w:ascii="Times New Roman" w:hAnsi="Times New Roman"/>
          <w:sz w:val="20"/>
        </w:rPr>
      </w:pPr>
      <w:r>
        <w:rPr>
          <w:rFonts w:ascii="Times New Roman" w:hAnsi="Times New Roman"/>
          <w:i/>
          <w:sz w:val="20"/>
        </w:rPr>
        <w:t>Rule 3.19A.2</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Appendix 3Y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or documents not available now must be given to ASX as soon as available. Information and documents given to ASX become ASXs property and may be made public. </w:t>
      </w:r>
    </w:p>
    <w:p>
      <w:pPr>
        <w:pStyle w:val="TextBody"/>
        <w:bidi w:val="0"/>
        <w:spacing w:before="240" w:after="0"/>
        <w:jc w:val="left"/>
        <w:rPr>
          <w:rFonts w:ascii="Times New Roman" w:hAnsi="Times New Roman"/>
          <w:sz w:val="20"/>
        </w:rPr>
      </w:pPr>
      <w:r>
        <w:rPr>
          <w:rFonts w:ascii="Times New Roman" w:hAnsi="Times New Roman"/>
          <w:sz w:val="20"/>
        </w:rPr>
        <w:t xml:space="preserve">Introduced 30/09/01 Amended 01/01/11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b/>
                <w:sz w:val="20"/>
              </w:rPr>
            </w:pPr>
            <w:r>
              <w:rPr>
                <w:rFonts w:ascii="Times New Roman" w:hAnsi="Times New Roman"/>
                <w:b/>
                <w:sz w:val="20"/>
              </w:rPr>
              <w:t>Name of entity: Life360, Inc.</w:t>
            </w:r>
          </w:p>
          <w:p>
            <w:pPr>
              <w:pStyle w:val="TableContents"/>
              <w:bidi w:val="0"/>
              <w:spacing w:before="0" w:after="20"/>
              <w:jc w:val="left"/>
              <w:rPr/>
            </w:pPr>
            <w:r>
              <w:rPr/>
              <w:t> </w:t>
            </w:r>
          </w:p>
        </w:tc>
      </w:tr>
      <w:tr>
        <w:trPr/>
        <w:tc>
          <w:tcPr>
            <w:tcW w:w="10205" w:type="dxa"/>
            <w:tcBorders/>
          </w:tcPr>
          <w:p>
            <w:pPr>
              <w:pStyle w:val="TableContents"/>
              <w:bidi w:val="0"/>
              <w:spacing w:before="0" w:after="283"/>
              <w:jc w:val="left"/>
              <w:rPr>
                <w:b/>
              </w:rPr>
            </w:pPr>
            <w:r>
              <w:rPr>
                <w:b/>
              </w:rPr>
              <w:t>ARBN: 629 412 942</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(the entity) give ASX the following information under listing rule 3.19A.2 and as agent for the director for the purposes of section 205G of the Corporations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0"/>
        <w:gridCol w:w="121"/>
        <w:gridCol w:w="4944"/>
      </w:tblGrid>
      <w:tr>
        <w:trPr/>
        <w:tc>
          <w:tcPr>
            <w:tcW w:w="51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44" w:type="dxa"/>
            <w:tcBorders/>
            <w:vAlign w:val="center"/>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283"/>
              <w:jc w:val="left"/>
              <w:rPr>
                <w:b/>
              </w:rPr>
            </w:pPr>
            <w:r>
              <w:rPr>
                <w:b/>
              </w:rPr>
              <w:t>Name of Director</w:t>
            </w:r>
          </w:p>
        </w:tc>
        <w:tc>
          <w:tcPr>
            <w:tcW w:w="121" w:type="dxa"/>
            <w:tcBorders/>
            <w:vAlign w:val="bottom"/>
          </w:tcPr>
          <w:p>
            <w:pPr>
              <w:pStyle w:val="TableContents"/>
              <w:bidi w:val="0"/>
              <w:spacing w:before="0" w:after="283"/>
              <w:jc w:val="left"/>
              <w:rPr/>
            </w:pPr>
            <w:r>
              <w:rPr/>
              <w:t>  </w:t>
            </w:r>
          </w:p>
        </w:tc>
        <w:tc>
          <w:tcPr>
            <w:tcW w:w="4944" w:type="dxa"/>
            <w:tcBorders/>
          </w:tcPr>
          <w:p>
            <w:pPr>
              <w:pStyle w:val="TableContents"/>
              <w:bidi w:val="0"/>
              <w:spacing w:before="0" w:after="283"/>
              <w:jc w:val="left"/>
              <w:rPr/>
            </w:pPr>
            <w:r>
              <w:rPr/>
              <w:t>Christopher (Chris) Hulls</w:t>
            </w:r>
          </w:p>
        </w:tc>
      </w:tr>
      <w:tr>
        <w:trPr>
          <w:trHeight w:val="240" w:hRule="atLeast"/>
        </w:trPr>
        <w:tc>
          <w:tcPr>
            <w:tcW w:w="5140" w:type="dxa"/>
            <w:tcBorders/>
            <w:vAlign w:val="center"/>
          </w:tcPr>
          <w:p>
            <w:pPr>
              <w:pStyle w:val="TableContents"/>
              <w:bidi w:val="0"/>
              <w:spacing w:before="0" w:after="283"/>
              <w:jc w:val="left"/>
              <w:rPr>
                <w:sz w:val="4"/>
                <w:szCs w:val="4"/>
              </w:rPr>
            </w:pPr>
            <w:r>
              <w:rPr>
                <w:sz w:val="4"/>
                <w:szCs w:val="4"/>
              </w:rPr>
            </w:r>
          </w:p>
        </w:tc>
        <w:tc>
          <w:tcPr>
            <w:tcW w:w="5065" w:type="dxa"/>
            <w:gridSpan w:val="2"/>
            <w:tcBorders/>
            <w:vAlign w:val="center"/>
          </w:tcPr>
          <w:p>
            <w:pPr>
              <w:pStyle w:val="TableContents"/>
              <w:bidi w:val="0"/>
              <w:spacing w:before="0" w:after="283"/>
              <w:jc w:val="left"/>
              <w:rPr>
                <w:sz w:val="4"/>
                <w:szCs w:val="4"/>
              </w:rPr>
            </w:pPr>
            <w:r>
              <w:rPr>
                <w:sz w:val="4"/>
                <w:szCs w:val="4"/>
              </w:rPr>
            </w:r>
          </w:p>
        </w:tc>
      </w:tr>
      <w:tr>
        <w:trPr/>
        <w:tc>
          <w:tcPr>
            <w:tcW w:w="5140" w:type="dxa"/>
            <w:tcBorders/>
          </w:tcPr>
          <w:p>
            <w:pPr>
              <w:pStyle w:val="TableContents"/>
              <w:bidi w:val="0"/>
              <w:spacing w:before="0" w:after="283"/>
              <w:jc w:val="left"/>
              <w:rPr>
                <w:b/>
              </w:rPr>
            </w:pPr>
            <w:r>
              <w:rPr>
                <w:b/>
              </w:rPr>
              <w:t>Date of last notice</w:t>
            </w:r>
          </w:p>
        </w:tc>
        <w:tc>
          <w:tcPr>
            <w:tcW w:w="121" w:type="dxa"/>
            <w:tcBorders/>
            <w:vAlign w:val="bottom"/>
          </w:tcPr>
          <w:p>
            <w:pPr>
              <w:pStyle w:val="TableContents"/>
              <w:bidi w:val="0"/>
              <w:spacing w:before="0" w:after="283"/>
              <w:jc w:val="left"/>
              <w:rPr/>
            </w:pPr>
            <w:r>
              <w:rPr/>
              <w:t>  </w:t>
            </w:r>
          </w:p>
        </w:tc>
        <w:tc>
          <w:tcPr>
            <w:tcW w:w="4944" w:type="dxa"/>
            <w:tcBorders/>
          </w:tcPr>
          <w:p>
            <w:pPr>
              <w:pStyle w:val="TableContents"/>
              <w:bidi w:val="0"/>
              <w:spacing w:before="0" w:after="283"/>
              <w:jc w:val="left"/>
              <w:rPr/>
            </w:pPr>
            <w:r>
              <w:rPr/>
              <w:t>15 September 2023</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1Change of directors relevant interests in securities </w:t>
      </w:r>
    </w:p>
    <w:p>
      <w:pPr>
        <w:pStyle w:val="TextBody"/>
        <w:bidi w:val="0"/>
        <w:spacing w:before="120" w:after="0"/>
        <w:jc w:val="left"/>
        <w:rPr>
          <w:rFonts w:ascii="Times New Roman" w:hAnsi="Times New Roman"/>
          <w:i/>
          <w:sz w:val="20"/>
        </w:rPr>
      </w:pPr>
      <w:r>
        <w:rPr>
          <w:rFonts w:ascii="Times New Roman" w:hAnsi="Times New Roman"/>
          <w:i/>
          <w:sz w:val="20"/>
        </w:rPr>
        <w:t xml:space="preserve">In the case of a trust, this includes interests in the trust made available by the responsible entity of the trust </w:t>
      </w:r>
    </w:p>
    <w:p>
      <w:pPr>
        <w:pStyle w:val="TextBody"/>
        <w:bidi w:val="0"/>
        <w:spacing w:before="240" w:after="0"/>
        <w:jc w:val="left"/>
        <w:rPr>
          <w:rFonts w:ascii="Times New Roman" w:hAnsi="Times New Roman"/>
          <w:sz w:val="20"/>
        </w:rPr>
      </w:pPr>
      <w:r>
        <w:rPr>
          <w:rFonts w:ascii="Times New Roman" w:hAnsi="Times New Roman"/>
          <w:sz w:val="20"/>
        </w:rPr>
        <w:t xml:space="preserve">Note: In the case of a company, interests which come within paragraph (i)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1"/>
        <w:gridCol w:w="120"/>
        <w:gridCol w:w="4814"/>
      </w:tblGrid>
      <w:tr>
        <w:trPr/>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14" w:type="dxa"/>
            <w:tcBorders/>
            <w:vAlign w:val="center"/>
          </w:tcPr>
          <w:p>
            <w:pPr>
              <w:pStyle w:val="TableContents"/>
              <w:bidi w:val="0"/>
              <w:spacing w:before="0" w:after="283"/>
              <w:jc w:val="left"/>
              <w:rPr>
                <w:sz w:val="4"/>
                <w:szCs w:val="4"/>
              </w:rPr>
            </w:pPr>
            <w:r>
              <w:rPr>
                <w:sz w:val="4"/>
                <w:szCs w:val="4"/>
              </w:rPr>
            </w:r>
          </w:p>
        </w:tc>
      </w:tr>
      <w:tr>
        <w:trPr/>
        <w:tc>
          <w:tcPr>
            <w:tcW w:w="52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 or indirect interest</w:t>
            </w:r>
          </w:p>
        </w:tc>
        <w:tc>
          <w:tcPr>
            <w:tcW w:w="120" w:type="dxa"/>
            <w:tcBorders/>
            <w:vAlign w:val="bottom"/>
          </w:tcPr>
          <w:p>
            <w:pPr>
              <w:pStyle w:val="TableContents"/>
              <w:bidi w:val="0"/>
              <w:spacing w:before="0" w:after="283"/>
              <w:jc w:val="left"/>
              <w:rPr/>
            </w:pPr>
            <w:r>
              <w:rPr/>
              <w:t>  </w:t>
            </w:r>
          </w:p>
        </w:tc>
        <w:tc>
          <w:tcPr>
            <w:tcW w:w="48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Direct Interest</w:t>
            </w:r>
          </w:p>
        </w:tc>
      </w:tr>
      <w:tr>
        <w:trPr/>
        <w:tc>
          <w:tcPr>
            <w:tcW w:w="5271" w:type="dxa"/>
            <w:tcBorders/>
          </w:tcPr>
          <w:p>
            <w:pPr>
              <w:pStyle w:val="TableContents"/>
              <w:bidi w:val="0"/>
              <w:spacing w:before="0" w:after="0"/>
              <w:jc w:val="left"/>
              <w:rPr>
                <w:rFonts w:ascii="Times New Roman" w:hAnsi="Times New Roman"/>
                <w:b/>
                <w:sz w:val="20"/>
              </w:rPr>
            </w:pPr>
            <w:r>
              <w:rPr>
                <w:rFonts w:ascii="Times New Roman" w:hAnsi="Times New Roman"/>
                <w:b/>
                <w:sz w:val="20"/>
              </w:rPr>
              <w:t>Nature of indirect interest</w:t>
            </w:r>
          </w:p>
          <w:p>
            <w:pPr>
              <w:pStyle w:val="TableContents"/>
              <w:bidi w:val="0"/>
              <w:spacing w:before="0" w:after="0"/>
              <w:jc w:val="left"/>
              <w:rPr>
                <w:rFonts w:ascii="Times New Roman" w:hAnsi="Times New Roman"/>
                <w:b/>
                <w:sz w:val="20"/>
              </w:rPr>
            </w:pPr>
            <w:r>
              <w:rPr>
                <w:rFonts w:ascii="Times New Roman" w:hAnsi="Times New Roman"/>
                <w:b/>
                <w:sz w:val="20"/>
              </w:rPr>
              <w:t>(including registered holder)</w:t>
            </w:r>
          </w:p>
          <w:p>
            <w:pPr>
              <w:pStyle w:val="TableContents"/>
              <w:bidi w:val="0"/>
              <w:spacing w:before="0" w:after="20"/>
              <w:jc w:val="left"/>
              <w:rPr>
                <w:rFonts w:ascii="Times New Roman" w:hAnsi="Times New Roman"/>
                <w:sz w:val="20"/>
              </w:rPr>
            </w:pPr>
            <w:r>
              <w:rPr>
                <w:rFonts w:ascii="Times New Roman" w:hAnsi="Times New Roman"/>
                <w:sz w:val="20"/>
              </w:rPr>
              <w:t>Note: Provide details of the circumstances giving rise to the relevant interest.</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  </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Date of change</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1. 1 December 2023</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4 December 2023</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No. of securities held prior to change</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0"/>
              <w:jc w:val="left"/>
              <w:rPr>
                <w:rFonts w:ascii="Times New Roman" w:hAnsi="Times New Roman"/>
                <w:sz w:val="20"/>
              </w:rPr>
            </w:pPr>
            <w:r>
              <w:rPr>
                <w:rFonts w:ascii="Times New Roman" w:hAnsi="Times New Roman"/>
                <w:sz w:val="20"/>
              </w:rPr>
              <w:t>  3,347,995 CHESS Depositary Interests (</w:t>
            </w:r>
            <w:r>
              <w:rPr>
                <w:rFonts w:ascii="Times New Roman" w:hAnsi="Times New Roman"/>
                <w:b/>
                <w:sz w:val="20"/>
              </w:rPr>
              <w:t>CDIs</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  1,267,967 Shares of Common Stock (</w:t>
            </w:r>
            <w:r>
              <w:rPr>
                <w:rFonts w:ascii="Times New Roman" w:hAnsi="Times New Roman"/>
                <w:b/>
                <w:sz w:val="20"/>
              </w:rPr>
              <w:t>Shares</w:t>
            </w:r>
            <w:r>
              <w:rPr>
                <w:rFonts w:ascii="Times New Roman" w:hAnsi="Times New Roman"/>
                <w:sz w:val="20"/>
              </w:rPr>
              <w:t>)(equivalent to 3,803,901 CDIs)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  2,090,348 Options over Shares (</w:t>
            </w:r>
            <w:r>
              <w:rPr>
                <w:rFonts w:ascii="Times New Roman" w:hAnsi="Times New Roman"/>
                <w:b/>
                <w:sz w:val="20"/>
              </w:rPr>
              <w:t>Options</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  60,572 Restricted Stock Units (</w:t>
            </w:r>
            <w:r>
              <w:rPr>
                <w:rFonts w:ascii="Times New Roman" w:hAnsi="Times New Roman"/>
                <w:b/>
                <w:sz w:val="20"/>
              </w:rPr>
              <w:t>RSUs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  89,880 CDIs held by ICCA Labs, LLC1</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Class</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Shares and CDIs</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Number acquired</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1.975,879 CDIs (acquired as a result of the conversion of 325,293 Shares)</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 Chris Hulls is a member of ICCA Labs, LLC, an entity that holds Life360 CDIs. The number of CDIs attributable to Chris Hulls by reason of his membership interest in ICCA Labs, LLC is 89,880.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See chapter 19 for defined terms.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01/01/2011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Appendix 3Y Page 1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Appendix 3Y </w:t>
      </w:r>
    </w:p>
    <w:p>
      <w:pPr>
        <w:pStyle w:val="TextBody"/>
        <w:bidi w:val="0"/>
        <w:spacing w:before="0" w:after="0"/>
        <w:jc w:val="lef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94"/>
        <w:gridCol w:w="122"/>
        <w:gridCol w:w="4889"/>
      </w:tblGrid>
      <w:tr>
        <w:trPr/>
        <w:tc>
          <w:tcPr>
            <w:tcW w:w="519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89" w:type="dxa"/>
            <w:tcBorders/>
            <w:vAlign w:val="center"/>
          </w:tcPr>
          <w:p>
            <w:pPr>
              <w:pStyle w:val="TableContents"/>
              <w:bidi w:val="0"/>
              <w:spacing w:before="0" w:after="283"/>
              <w:jc w:val="left"/>
              <w:rPr>
                <w:sz w:val="4"/>
                <w:szCs w:val="4"/>
              </w:rPr>
            </w:pPr>
            <w:r>
              <w:rPr>
                <w:sz w:val="4"/>
                <w:szCs w:val="4"/>
              </w:rPr>
            </w:r>
          </w:p>
        </w:tc>
      </w:tr>
      <w:tr>
        <w:trPr/>
        <w:tc>
          <w:tcPr>
            <w:tcW w:w="5194" w:type="dxa"/>
            <w:tcBorders/>
          </w:tcPr>
          <w:p>
            <w:pPr>
              <w:pStyle w:val="TableContents"/>
              <w:bidi w:val="0"/>
              <w:spacing w:before="0" w:after="283"/>
              <w:jc w:val="left"/>
              <w:rPr>
                <w:b/>
              </w:rPr>
            </w:pPr>
            <w:r>
              <w:rPr>
                <w:b/>
              </w:rPr>
              <w:t>Number disposed</w:t>
            </w:r>
          </w:p>
        </w:tc>
        <w:tc>
          <w:tcPr>
            <w:tcW w:w="122"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0"/>
              <w:jc w:val="left"/>
              <w:rPr>
                <w:rFonts w:ascii="Times New Roman" w:hAnsi="Times New Roman"/>
                <w:sz w:val="20"/>
              </w:rPr>
            </w:pPr>
            <w:r>
              <w:rPr>
                <w:rFonts w:ascii="Times New Roman" w:hAnsi="Times New Roman"/>
                <w:sz w:val="20"/>
              </w:rPr>
              <w:t>1. 325,293 Shares (having converted to 975,879 CDIs)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810,000 CDIs (sold on market)</w:t>
            </w:r>
          </w:p>
        </w:tc>
      </w:tr>
      <w:tr>
        <w:trPr>
          <w:trHeight w:val="120" w:hRule="atLeast"/>
        </w:trPr>
        <w:tc>
          <w:tcPr>
            <w:tcW w:w="5194" w:type="dxa"/>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r>
      <w:tr>
        <w:trPr/>
        <w:tc>
          <w:tcPr>
            <w:tcW w:w="5194" w:type="dxa"/>
            <w:tcBorders/>
          </w:tcPr>
          <w:p>
            <w:pPr>
              <w:pStyle w:val="TableContents"/>
              <w:bidi w:val="0"/>
              <w:spacing w:before="0" w:after="0"/>
              <w:jc w:val="left"/>
              <w:rPr>
                <w:rFonts w:ascii="Times New Roman" w:hAnsi="Times New Roman"/>
                <w:b/>
                <w:sz w:val="20"/>
              </w:rPr>
            </w:pPr>
            <w:r>
              <w:rPr>
                <w:rFonts w:ascii="Times New Roman" w:hAnsi="Times New Roman"/>
                <w:b/>
                <w:sz w:val="20"/>
              </w:rPr>
              <w:t>Value/Consideration</w:t>
            </w:r>
          </w:p>
          <w:p>
            <w:pPr>
              <w:pStyle w:val="TableContents"/>
              <w:bidi w:val="0"/>
              <w:spacing w:before="0" w:after="20"/>
              <w:jc w:val="left"/>
              <w:rPr>
                <w:rFonts w:ascii="Times New Roman" w:hAnsi="Times New Roman"/>
                <w:sz w:val="20"/>
              </w:rPr>
            </w:pPr>
            <w:r>
              <w:rPr>
                <w:rFonts w:ascii="Times New Roman" w:hAnsi="Times New Roman"/>
                <w:sz w:val="20"/>
              </w:rPr>
              <w:t>Note: If consideration is non-cash, provide details and estimated valuation</w:t>
            </w:r>
          </w:p>
        </w:tc>
        <w:tc>
          <w:tcPr>
            <w:tcW w:w="122"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0"/>
              <w:jc w:val="left"/>
              <w:rPr>
                <w:rFonts w:ascii="Times New Roman" w:hAnsi="Times New Roman"/>
                <w:sz w:val="20"/>
              </w:rPr>
            </w:pPr>
            <w:r>
              <w:rPr>
                <w:rFonts w:ascii="Times New Roman" w:hAnsi="Times New Roman"/>
                <w:sz w:val="20"/>
              </w:rPr>
              <w:t>1. Nil  Shares converted to CDIs  no consideration is required for such conversions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A$5,994,000  810,000 CDIs sold at $7.40 per CDI</w:t>
            </w:r>
          </w:p>
        </w:tc>
      </w:tr>
      <w:tr>
        <w:trPr>
          <w:trHeight w:val="120" w:hRule="atLeast"/>
        </w:trPr>
        <w:tc>
          <w:tcPr>
            <w:tcW w:w="5194" w:type="dxa"/>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r>
      <w:tr>
        <w:trPr/>
        <w:tc>
          <w:tcPr>
            <w:tcW w:w="5194" w:type="dxa"/>
            <w:tcBorders/>
          </w:tcPr>
          <w:p>
            <w:pPr>
              <w:pStyle w:val="TableContents"/>
              <w:bidi w:val="0"/>
              <w:spacing w:before="0" w:after="283"/>
              <w:jc w:val="left"/>
              <w:rPr>
                <w:b/>
              </w:rPr>
            </w:pPr>
            <w:r>
              <w:rPr>
                <w:b/>
              </w:rPr>
              <w:t>No. of securities held after change</w:t>
            </w:r>
          </w:p>
        </w:tc>
        <w:tc>
          <w:tcPr>
            <w:tcW w:w="122"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0"/>
              <w:jc w:val="left"/>
              <w:rPr>
                <w:rFonts w:ascii="Times New Roman" w:hAnsi="Times New Roman"/>
                <w:sz w:val="20"/>
              </w:rPr>
            </w:pPr>
            <w:r>
              <w:rPr>
                <w:rFonts w:ascii="Times New Roman" w:hAnsi="Times New Roman"/>
                <w:sz w:val="20"/>
              </w:rPr>
              <w:t>  3,513,874 CDIs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  942,674 Shares (equivalent to 2,828,022 CDIs)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  2,090,348 Options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  60,572 RSUs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  89,880 CDIs held by ICCA Labs, LLC</w:t>
            </w:r>
          </w:p>
        </w:tc>
      </w:tr>
      <w:tr>
        <w:trPr>
          <w:trHeight w:val="120" w:hRule="atLeast"/>
        </w:trPr>
        <w:tc>
          <w:tcPr>
            <w:tcW w:w="5194" w:type="dxa"/>
            <w:tcBorders/>
            <w:vAlign w:val="center"/>
          </w:tcPr>
          <w:p>
            <w:pPr>
              <w:pStyle w:val="TableContents"/>
              <w:bidi w:val="0"/>
              <w:spacing w:before="0" w:after="283"/>
              <w:jc w:val="left"/>
              <w:rPr>
                <w:sz w:val="4"/>
                <w:szCs w:val="4"/>
              </w:rPr>
            </w:pPr>
            <w:r>
              <w:rPr>
                <w:sz w:val="4"/>
                <w:szCs w:val="4"/>
              </w:rPr>
            </w:r>
          </w:p>
        </w:tc>
        <w:tc>
          <w:tcPr>
            <w:tcW w:w="5011" w:type="dxa"/>
            <w:gridSpan w:val="2"/>
            <w:tcBorders/>
            <w:vAlign w:val="center"/>
          </w:tcPr>
          <w:p>
            <w:pPr>
              <w:pStyle w:val="TableContents"/>
              <w:bidi w:val="0"/>
              <w:spacing w:before="0" w:after="283"/>
              <w:jc w:val="left"/>
              <w:rPr>
                <w:sz w:val="4"/>
                <w:szCs w:val="4"/>
              </w:rPr>
            </w:pPr>
            <w:r>
              <w:rPr>
                <w:sz w:val="4"/>
                <w:szCs w:val="4"/>
              </w:rPr>
            </w:r>
          </w:p>
        </w:tc>
      </w:tr>
      <w:tr>
        <w:trPr/>
        <w:tc>
          <w:tcPr>
            <w:tcW w:w="5194" w:type="dxa"/>
            <w:tcBorders/>
          </w:tcPr>
          <w:p>
            <w:pPr>
              <w:pStyle w:val="TableContents"/>
              <w:bidi w:val="0"/>
              <w:spacing w:before="0" w:after="0"/>
              <w:jc w:val="left"/>
              <w:rPr>
                <w:rFonts w:ascii="Times New Roman" w:hAnsi="Times New Roman"/>
                <w:b/>
                <w:sz w:val="20"/>
              </w:rPr>
            </w:pPr>
            <w:r>
              <w:rPr>
                <w:rFonts w:ascii="Times New Roman" w:hAnsi="Times New Roman"/>
                <w:b/>
                <w:sz w:val="20"/>
              </w:rPr>
              <w:t>Nature of change</w:t>
            </w:r>
          </w:p>
          <w:p>
            <w:pPr>
              <w:pStyle w:val="TableContents"/>
              <w:bidi w:val="0"/>
              <w:spacing w:before="0" w:after="20"/>
              <w:jc w:val="left"/>
              <w:rPr>
                <w:rFonts w:ascii="Times New Roman" w:hAnsi="Times New Roman"/>
                <w:sz w:val="20"/>
              </w:rPr>
            </w:pPr>
            <w:r>
              <w:rPr>
                <w:rFonts w:ascii="Times New Roman" w:hAnsi="Times New Roman"/>
                <w:sz w:val="20"/>
              </w:rPr>
              <w:t>Example: on-market trade, off-market trade, exercise of options, issue of securities under dividend reinvestment plan, participation in buy-back</w:t>
            </w:r>
          </w:p>
        </w:tc>
        <w:tc>
          <w:tcPr>
            <w:tcW w:w="122" w:type="dxa"/>
            <w:tcBorders/>
            <w:vAlign w:val="bottom"/>
          </w:tcPr>
          <w:p>
            <w:pPr>
              <w:pStyle w:val="TableContents"/>
              <w:bidi w:val="0"/>
              <w:spacing w:before="0" w:after="283"/>
              <w:jc w:val="left"/>
              <w:rPr/>
            </w:pPr>
            <w:r>
              <w:rPr/>
              <w:t>  </w:t>
            </w:r>
          </w:p>
        </w:tc>
        <w:tc>
          <w:tcPr>
            <w:tcW w:w="4889" w:type="dxa"/>
            <w:tcBorders/>
          </w:tcPr>
          <w:p>
            <w:pPr>
              <w:pStyle w:val="TableContents"/>
              <w:bidi w:val="0"/>
              <w:spacing w:before="0" w:after="0"/>
              <w:jc w:val="left"/>
              <w:rPr>
                <w:rFonts w:ascii="Times New Roman" w:hAnsi="Times New Roman"/>
                <w:sz w:val="20"/>
              </w:rPr>
            </w:pPr>
            <w:r>
              <w:rPr>
                <w:rFonts w:ascii="Times New Roman" w:hAnsi="Times New Roman"/>
                <w:sz w:val="20"/>
              </w:rPr>
              <w:t>1. Conversion of Shares to CDIs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2. On-market sale of CDIs</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Part 2  Change of directors interests in contracts </w:t>
      </w:r>
    </w:p>
    <w:p>
      <w:pPr>
        <w:pStyle w:val="TextBody"/>
        <w:bidi w:val="0"/>
        <w:spacing w:before="240" w:after="0"/>
        <w:jc w:val="left"/>
        <w:rPr>
          <w:rFonts w:ascii="Times New Roman" w:hAnsi="Times New Roman"/>
          <w:sz w:val="20"/>
        </w:rPr>
      </w:pPr>
      <w:r>
        <w:rPr>
          <w:rFonts w:ascii="Times New Roman" w:hAnsi="Times New Roman"/>
          <w:sz w:val="20"/>
        </w:rPr>
        <w:t xml:space="preserve">Note: In the case of a company, interests which come within paragraph (ii) of the definition of notifiable interest of a director should be disclosed in this part.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2"/>
        <w:gridCol w:w="122"/>
        <w:gridCol w:w="4801"/>
      </w:tblGrid>
      <w:tr>
        <w:trPr/>
        <w:tc>
          <w:tcPr>
            <w:tcW w:w="528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Detail of contract</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Nature of interest</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0"/>
              <w:jc w:val="left"/>
              <w:rPr>
                <w:rFonts w:ascii="Times New Roman" w:hAnsi="Times New Roman"/>
                <w:b/>
                <w:sz w:val="20"/>
              </w:rPr>
            </w:pPr>
            <w:r>
              <w:rPr>
                <w:rFonts w:ascii="Times New Roman" w:hAnsi="Times New Roman"/>
                <w:b/>
                <w:sz w:val="20"/>
              </w:rPr>
              <w:t>Name of registered holder</w:t>
            </w:r>
          </w:p>
          <w:p>
            <w:pPr>
              <w:pStyle w:val="TableContents"/>
              <w:bidi w:val="0"/>
              <w:spacing w:before="0" w:after="20"/>
              <w:jc w:val="left"/>
              <w:rPr>
                <w:rFonts w:ascii="Times New Roman" w:hAnsi="Times New Roman"/>
                <w:b/>
                <w:sz w:val="20"/>
              </w:rPr>
            </w:pPr>
            <w:r>
              <w:rPr>
                <w:rFonts w:ascii="Times New Roman" w:hAnsi="Times New Roman"/>
                <w:b/>
                <w:sz w:val="20"/>
              </w:rPr>
              <w:t>(if issued securities)</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Date of change</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0"/>
              <w:jc w:val="left"/>
              <w:rPr>
                <w:rFonts w:ascii="Times New Roman" w:hAnsi="Times New Roman"/>
                <w:b/>
                <w:sz w:val="20"/>
              </w:rPr>
            </w:pPr>
            <w:r>
              <w:rPr>
                <w:rFonts w:ascii="Times New Roman" w:hAnsi="Times New Roman"/>
                <w:b/>
                <w:sz w:val="20"/>
              </w:rPr>
              <w:t>No. and class of securities to which interest related prior to change</w:t>
            </w:r>
          </w:p>
          <w:p>
            <w:pPr>
              <w:pStyle w:val="TableContents"/>
              <w:bidi w:val="0"/>
              <w:spacing w:before="0" w:after="20"/>
              <w:jc w:val="left"/>
              <w:rPr>
                <w:rFonts w:ascii="Times New Roman" w:hAnsi="Times New Roman"/>
                <w:sz w:val="20"/>
              </w:rPr>
            </w:pPr>
            <w:r>
              <w:rPr>
                <w:rFonts w:ascii="Times New Roman" w:hAnsi="Times New Roman"/>
                <w:sz w:val="20"/>
              </w:rPr>
              <w:t>Note: Details are only required for a contract in relation to which the interest has changed</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Interest acquired</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Interest disposed</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0"/>
              <w:jc w:val="left"/>
              <w:rPr>
                <w:rFonts w:ascii="Times New Roman" w:hAnsi="Times New Roman"/>
                <w:b/>
                <w:sz w:val="20"/>
              </w:rPr>
            </w:pPr>
            <w:r>
              <w:rPr>
                <w:rFonts w:ascii="Times New Roman" w:hAnsi="Times New Roman"/>
                <w:b/>
                <w:sz w:val="20"/>
              </w:rPr>
              <w:t>Value/Consideration</w:t>
            </w:r>
          </w:p>
          <w:p>
            <w:pPr>
              <w:pStyle w:val="TableContents"/>
              <w:bidi w:val="0"/>
              <w:spacing w:before="0" w:after="20"/>
              <w:jc w:val="left"/>
              <w:rPr>
                <w:rFonts w:ascii="Times New Roman" w:hAnsi="Times New Roman"/>
                <w:sz w:val="20"/>
              </w:rPr>
            </w:pPr>
            <w:r>
              <w:rPr>
                <w:rFonts w:ascii="Times New Roman" w:hAnsi="Times New Roman"/>
                <w:sz w:val="20"/>
              </w:rPr>
              <w:t>Note: If consideration is non-cash, provide details and an estimated valuation</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r>
        <w:trPr>
          <w:trHeight w:val="120" w:hRule="atLeast"/>
        </w:trPr>
        <w:tc>
          <w:tcPr>
            <w:tcW w:w="5282" w:type="dxa"/>
            <w:tcBorders/>
            <w:vAlign w:val="center"/>
          </w:tcPr>
          <w:p>
            <w:pPr>
              <w:pStyle w:val="TableContents"/>
              <w:bidi w:val="0"/>
              <w:spacing w:before="0" w:after="283"/>
              <w:jc w:val="left"/>
              <w:rPr>
                <w:sz w:val="4"/>
                <w:szCs w:val="4"/>
              </w:rPr>
            </w:pPr>
            <w:r>
              <w:rPr>
                <w:sz w:val="4"/>
                <w:szCs w:val="4"/>
              </w:rPr>
            </w:r>
          </w:p>
        </w:tc>
        <w:tc>
          <w:tcPr>
            <w:tcW w:w="4923" w:type="dxa"/>
            <w:gridSpan w:val="2"/>
            <w:tcBorders/>
            <w:vAlign w:val="center"/>
          </w:tcPr>
          <w:p>
            <w:pPr>
              <w:pStyle w:val="TableContents"/>
              <w:bidi w:val="0"/>
              <w:spacing w:before="0" w:after="283"/>
              <w:jc w:val="left"/>
              <w:rPr>
                <w:sz w:val="4"/>
                <w:szCs w:val="4"/>
              </w:rPr>
            </w:pPr>
            <w:r>
              <w:rPr>
                <w:sz w:val="4"/>
                <w:szCs w:val="4"/>
              </w:rPr>
            </w:r>
          </w:p>
        </w:tc>
      </w:tr>
      <w:tr>
        <w:trPr/>
        <w:tc>
          <w:tcPr>
            <w:tcW w:w="5282" w:type="dxa"/>
            <w:tcBorders/>
          </w:tcPr>
          <w:p>
            <w:pPr>
              <w:pStyle w:val="TableContents"/>
              <w:bidi w:val="0"/>
              <w:spacing w:before="0" w:after="283"/>
              <w:jc w:val="left"/>
              <w:rPr>
                <w:b/>
              </w:rPr>
            </w:pPr>
            <w:r>
              <w:rPr>
                <w:b/>
              </w:rPr>
              <w:t>Interest after change</w:t>
            </w:r>
          </w:p>
        </w:tc>
        <w:tc>
          <w:tcPr>
            <w:tcW w:w="122"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left"/>
              <w:rPr/>
            </w:pPr>
            <w:r>
              <w:rPr/>
              <w:t>N/A</w:t>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5219"/>
        <w:gridCol w:w="120"/>
        <w:gridCol w:w="4866"/>
      </w:tblGrid>
      <w:tr>
        <w:trPr/>
        <w:tc>
          <w:tcPr>
            <w:tcW w:w="52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6" w:type="dxa"/>
            <w:tcBorders/>
            <w:vAlign w:val="center"/>
          </w:tcPr>
          <w:p>
            <w:pPr>
              <w:pStyle w:val="TableContents"/>
              <w:bidi w:val="0"/>
              <w:spacing w:before="0" w:after="283"/>
              <w:jc w:val="left"/>
              <w:rPr>
                <w:sz w:val="4"/>
                <w:szCs w:val="4"/>
              </w:rPr>
            </w:pPr>
            <w:r>
              <w:rPr>
                <w:sz w:val="4"/>
                <w:szCs w:val="4"/>
              </w:rPr>
            </w:r>
          </w:p>
        </w:tc>
      </w:tr>
      <w:tr>
        <w:trPr/>
        <w:tc>
          <w:tcPr>
            <w:tcW w:w="5219" w:type="dxa"/>
            <w:tcBorders/>
          </w:tcPr>
          <w:p>
            <w:pPr>
              <w:pStyle w:val="TableContents"/>
              <w:bidi w:val="0"/>
              <w:spacing w:before="0" w:after="283"/>
              <w:jc w:val="left"/>
              <w:rPr/>
            </w:pPr>
            <w:r>
              <w:rPr/>
              <w:t>+ See chapter 19 for defined terms.</w:t>
            </w:r>
          </w:p>
        </w:tc>
        <w:tc>
          <w:tcPr>
            <w:tcW w:w="120" w:type="dxa"/>
            <w:tcBorders/>
            <w:vAlign w:val="bottom"/>
          </w:tcPr>
          <w:p>
            <w:pPr>
              <w:pStyle w:val="TableContents"/>
              <w:bidi w:val="0"/>
              <w:spacing w:before="0" w:after="283"/>
              <w:jc w:val="left"/>
              <w:rPr/>
            </w:pPr>
            <w:r>
              <w:rPr/>
              <w:t>  </w:t>
            </w:r>
          </w:p>
        </w:tc>
        <w:tc>
          <w:tcPr>
            <w:tcW w:w="4866" w:type="dxa"/>
            <w:tcBorders/>
          </w:tcPr>
          <w:p>
            <w:pPr>
              <w:pStyle w:val="TableContents"/>
              <w:bidi w:val="0"/>
              <w:spacing w:before="0" w:after="283"/>
              <w:jc w:val="right"/>
              <w:rPr/>
            </w:pPr>
            <w:r>
              <w:rPr/>
              <w:t>01/01/2011</w:t>
            </w:r>
          </w:p>
        </w:tc>
      </w:tr>
      <w:tr>
        <w:trPr/>
        <w:tc>
          <w:tcPr>
            <w:tcW w:w="5219" w:type="dxa"/>
            <w:tcBorders/>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Appendix 3Y Page 2</w:t>
            </w:r>
          </w:p>
        </w:tc>
        <w:tc>
          <w:tcPr>
            <w:tcW w:w="120" w:type="dxa"/>
            <w:tcBorders/>
            <w:vAlign w:val="bottom"/>
          </w:tcPr>
          <w:p>
            <w:pPr>
              <w:pStyle w:val="TableContents"/>
              <w:bidi w:val="0"/>
              <w:spacing w:before="0" w:after="283"/>
              <w:jc w:val="left"/>
              <w:rPr/>
            </w:pPr>
            <w:r>
              <w:rPr/>
              <w:t>  </w:t>
            </w:r>
          </w:p>
        </w:tc>
        <w:tc>
          <w:tcPr>
            <w:tcW w:w="486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3Y </w:t>
      </w:r>
    </w:p>
    <w:p>
      <w:pPr>
        <w:pStyle w:val="TextBody"/>
        <w:bidi w:val="0"/>
        <w:spacing w:before="0" w:after="0"/>
        <w:jc w:val="right"/>
        <w:rPr>
          <w:rFonts w:ascii="Times New Roman" w:hAnsi="Times New Roman"/>
          <w:b/>
          <w:sz w:val="20"/>
        </w:rPr>
      </w:pPr>
      <w:r>
        <w:rPr>
          <w:rFonts w:ascii="Times New Roman" w:hAnsi="Times New Roman"/>
          <w:b/>
          <w:sz w:val="20"/>
        </w:rPr>
        <w:t xml:space="preserve">Change of Directors Interest Notice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 xml:space="preserve">Part 3  </w:t>
      </w:r>
      <w:r>
        <w:rPr>
          <w:rFonts w:ascii="Times New Roman" w:hAnsi="Times New Roman"/>
          <w:sz w:val="20"/>
        </w:rPr>
        <w:t>+</w:t>
      </w:r>
      <w:r>
        <w:rPr>
          <w:rFonts w:ascii="Times New Roman" w:hAnsi="Times New Roman"/>
          <w:b/>
          <w:sz w:val="20"/>
        </w:rPr>
        <w:t>Closed period</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1"/>
        <w:gridCol w:w="123"/>
        <w:gridCol w:w="4831"/>
      </w:tblGrid>
      <w:tr>
        <w:trPr/>
        <w:tc>
          <w:tcPr>
            <w:tcW w:w="52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251" w:type="dxa"/>
            <w:tcBorders/>
            <w:vAlign w:val="center"/>
          </w:tcPr>
          <w:p>
            <w:pPr>
              <w:pStyle w:val="TableContents"/>
              <w:bidi w:val="0"/>
              <w:spacing w:before="0" w:after="283"/>
              <w:jc w:val="left"/>
              <w:rPr>
                <w:sz w:val="4"/>
                <w:szCs w:val="4"/>
              </w:rPr>
            </w:pPr>
            <w:r>
              <w:rPr>
                <w:sz w:val="4"/>
                <w:szCs w:val="4"/>
              </w:rPr>
            </w:r>
          </w:p>
        </w:tc>
        <w:tc>
          <w:tcPr>
            <w:tcW w:w="4954" w:type="dxa"/>
            <w:gridSpan w:val="2"/>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Were the interests in the securities or contracts detailed above traded during a +closed period where prior written clearance was required?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No.</w:t>
            </w:r>
          </w:p>
        </w:tc>
      </w:tr>
      <w:tr>
        <w:trPr>
          <w:trHeight w:val="120" w:hRule="atLeast"/>
        </w:trPr>
        <w:tc>
          <w:tcPr>
            <w:tcW w:w="5251" w:type="dxa"/>
            <w:tcBorders/>
            <w:vAlign w:val="center"/>
          </w:tcPr>
          <w:p>
            <w:pPr>
              <w:pStyle w:val="TableContents"/>
              <w:bidi w:val="0"/>
              <w:spacing w:before="0" w:after="283"/>
              <w:jc w:val="left"/>
              <w:rPr>
                <w:sz w:val="4"/>
                <w:szCs w:val="4"/>
              </w:rPr>
            </w:pPr>
            <w:r>
              <w:rPr>
                <w:sz w:val="4"/>
                <w:szCs w:val="4"/>
              </w:rPr>
            </w:r>
          </w:p>
        </w:tc>
        <w:tc>
          <w:tcPr>
            <w:tcW w:w="4954" w:type="dxa"/>
            <w:gridSpan w:val="2"/>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If so, was prior written clearance provided to allow the trade to proceed during this period?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N/A</w:t>
            </w:r>
          </w:p>
        </w:tc>
      </w:tr>
      <w:tr>
        <w:trPr>
          <w:trHeight w:val="120" w:hRule="atLeast"/>
        </w:trPr>
        <w:tc>
          <w:tcPr>
            <w:tcW w:w="5251" w:type="dxa"/>
            <w:tcBorders/>
            <w:vAlign w:val="center"/>
          </w:tcPr>
          <w:p>
            <w:pPr>
              <w:pStyle w:val="TableContents"/>
              <w:bidi w:val="0"/>
              <w:spacing w:before="0" w:after="283"/>
              <w:jc w:val="left"/>
              <w:rPr>
                <w:sz w:val="4"/>
                <w:szCs w:val="4"/>
              </w:rPr>
            </w:pPr>
            <w:r>
              <w:rPr>
                <w:sz w:val="4"/>
                <w:szCs w:val="4"/>
              </w:rPr>
            </w:r>
          </w:p>
        </w:tc>
        <w:tc>
          <w:tcPr>
            <w:tcW w:w="4954" w:type="dxa"/>
            <w:gridSpan w:val="2"/>
            <w:tcBorders/>
            <w:vAlign w:val="center"/>
          </w:tcPr>
          <w:p>
            <w:pPr>
              <w:pStyle w:val="TableContents"/>
              <w:bidi w:val="0"/>
              <w:spacing w:before="0" w:after="283"/>
              <w:jc w:val="left"/>
              <w:rPr>
                <w:sz w:val="4"/>
                <w:szCs w:val="4"/>
              </w:rPr>
            </w:pPr>
            <w:r>
              <w:rPr>
                <w:sz w:val="4"/>
                <w:szCs w:val="4"/>
              </w:rPr>
            </w:r>
          </w:p>
        </w:tc>
      </w:tr>
      <w:tr>
        <w:trPr/>
        <w:tc>
          <w:tcPr>
            <w:tcW w:w="5251" w:type="dxa"/>
            <w:tcBorders/>
          </w:tcPr>
          <w:p>
            <w:pPr>
              <w:pStyle w:val="TableContents"/>
              <w:bidi w:val="0"/>
              <w:spacing w:before="0" w:after="283"/>
              <w:jc w:val="left"/>
              <w:rPr>
                <w:b/>
              </w:rPr>
            </w:pPr>
            <w:r>
              <w:rPr>
                <w:b/>
              </w:rPr>
              <w:t>If prior written clearance was provided, on what date was this provided?</w:t>
            </w:r>
          </w:p>
        </w:tc>
        <w:tc>
          <w:tcPr>
            <w:tcW w:w="123"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283"/>
              <w:jc w:val="left"/>
              <w:rPr/>
            </w:pPr>
            <w:r>
              <w:rPr/>
              <w:t>N/A</w:t>
            </w:r>
          </w:p>
        </w:tc>
      </w:tr>
    </w:tbl>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5000" w:type="pct"/>
        <w:jc w:val="center"/>
        <w:tblInd w:w="0" w:type="dxa"/>
        <w:tblLayout w:type="fixed"/>
        <w:tblCellMar>
          <w:top w:w="0" w:type="dxa"/>
          <w:left w:w="0" w:type="dxa"/>
          <w:bottom w:w="0" w:type="dxa"/>
          <w:right w:w="0" w:type="dxa"/>
        </w:tblCellMar>
      </w:tblPr>
      <w:tblGrid>
        <w:gridCol w:w="5261"/>
        <w:gridCol w:w="120"/>
        <w:gridCol w:w="4824"/>
      </w:tblGrid>
      <w:tr>
        <w:trPr/>
        <w:tc>
          <w:tcPr>
            <w:tcW w:w="52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4" w:type="dxa"/>
            <w:tcBorders/>
            <w:vAlign w:val="center"/>
          </w:tcPr>
          <w:p>
            <w:pPr>
              <w:pStyle w:val="TableContents"/>
              <w:bidi w:val="0"/>
              <w:spacing w:before="0" w:after="283"/>
              <w:jc w:val="left"/>
              <w:rPr>
                <w:sz w:val="4"/>
                <w:szCs w:val="4"/>
              </w:rPr>
            </w:pPr>
            <w:r>
              <w:rPr>
                <w:sz w:val="4"/>
                <w:szCs w:val="4"/>
              </w:rPr>
            </w:r>
          </w:p>
        </w:tc>
      </w:tr>
      <w:tr>
        <w:trPr/>
        <w:tc>
          <w:tcPr>
            <w:tcW w:w="5261" w:type="dxa"/>
            <w:tcBorders/>
          </w:tcPr>
          <w:p>
            <w:pPr>
              <w:pStyle w:val="TableContents"/>
              <w:bidi w:val="0"/>
              <w:spacing w:before="0" w:after="0"/>
              <w:jc w:val="left"/>
              <w:rPr>
                <w:rFonts w:ascii="Times New Roman" w:hAnsi="Times New Roman"/>
                <w:sz w:val="20"/>
              </w:rPr>
            </w:pPr>
            <w:r>
              <w:rPr>
                <w:rFonts w:ascii="Times New Roman" w:hAnsi="Times New Roman"/>
                <w:sz w:val="20"/>
              </w:rPr>
              <w:t>+ See chapter 19 for defined terms.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01/01/2011 Appendix 3Y Page 3</w:t>
            </w:r>
          </w:p>
        </w:tc>
        <w:tc>
          <w:tcPr>
            <w:tcW w:w="120" w:type="dxa"/>
            <w:tcBorders/>
            <w:vAlign w:val="bottom"/>
          </w:tcPr>
          <w:p>
            <w:pPr>
              <w:pStyle w:val="TableContents"/>
              <w:bidi w:val="0"/>
              <w:spacing w:before="0" w:after="283"/>
              <w:jc w:val="left"/>
              <w:rPr/>
            </w:pPr>
            <w:r>
              <w:rPr/>
              <w:t>  </w:t>
            </w:r>
          </w:p>
        </w:tc>
        <w:tc>
          <w:tcPr>
            <w:tcW w:w="4824"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2196</Words>
  <Characters>11151</Characters>
  <CharactersWithSpaces>13341</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