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000-56424</w:t>
      </w:r>
    </w:p>
    <w:p>
      <w:pPr>
        <w:pStyle w:val="TextBody"/>
        <w:bidi w:val="0"/>
        <w:spacing w:lineRule="auto" w:line="28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4"/>
        <w:gridCol w:w="1047"/>
        <w:gridCol w:w="1059"/>
        <w:gridCol w:w="481"/>
        <w:gridCol w:w="481"/>
        <w:gridCol w:w="687"/>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94403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color w:val="000000"/>
          <w:sz w:val="20"/>
        </w:rPr>
        <w:t>Tel: (</w:t>
      </w:r>
      <w:r>
        <w:rPr>
          <w:rFonts w:ascii="Times New Roman;sans-serif" w:hAnsi="Times New Roman;sans-serif"/>
          <w:b w:val="false"/>
          <w:color w:val="000000"/>
          <w:sz w:val="20"/>
        </w:rPr>
        <w:t>415</w:t>
      </w:r>
      <w:r>
        <w:rPr>
          <w:rFonts w:ascii="Times New Roman;sans-serif" w:hAnsi="Times New Roman;sans-serif"/>
          <w:b/>
          <w:color w:val="000000"/>
          <w:sz w:val="20"/>
        </w:rPr>
        <w:t xml:space="preserve">) </w:t>
      </w:r>
      <w:r>
        <w:rPr>
          <w:rFonts w:ascii="Times New Roman;sans-serif" w:hAnsi="Times New Roman;sans-serif"/>
          <w:b w:val="false"/>
          <w:color w:val="000000"/>
          <w:sz w:val="20"/>
        </w:rPr>
        <w:t>484-5244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Exchange Act of 1934, as amended (the “Exchange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May 10, 2023, the registrant had 66,353,485 shares of common stock, par value $0.001 per share, including shares underlying all issued and outstanding Chess Depositary Interests (“CDIs”), outstanding.</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Life360, Inc.</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Form 10-Q for the Quarter Ended March 31, 2023</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417" w:type="dxa"/>
        <w:jc w:val="left"/>
        <w:tblInd w:w="0" w:type="dxa"/>
        <w:tblLayout w:type="fixed"/>
        <w:tblCellMar>
          <w:top w:w="28" w:type="dxa"/>
          <w:left w:w="28" w:type="dxa"/>
          <w:bottom w:w="28" w:type="dxa"/>
          <w:right w:w="28" w:type="dxa"/>
        </w:tblCellMar>
      </w:tblPr>
      <w:tblGrid>
        <w:gridCol w:w="294"/>
        <w:gridCol w:w="258"/>
        <w:gridCol w:w="258"/>
        <w:gridCol w:w="2453"/>
        <w:gridCol w:w="2453"/>
        <w:gridCol w:w="2459"/>
        <w:gridCol w:w="363"/>
        <w:gridCol w:w="363"/>
        <w:gridCol w:w="5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6">
              <w:r>
                <w:rPr>
                  <w:rStyle w:val="InternetLink"/>
                  <w:rFonts w:ascii="Times New Roman;sans-serif" w:hAnsi="Times New Roman;sans-serif"/>
                  <w:b/>
                  <w:color w:val="0000FF"/>
                  <w:sz w:val="20"/>
                  <w:u w:val="single"/>
                </w:rPr>
                <w:t>Part I - Financial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48">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48">
              <w:r>
                <w:rPr>
                  <w:rStyle w:val="InternetLink"/>
                  <w:rFonts w:ascii="Times New Roman;sans-serif" w:hAnsi="Times New Roman;sans-serif"/>
                  <w:b w:val="false"/>
                  <w:color w:val="0000FF"/>
                  <w:sz w:val="20"/>
                  <w:u w:val="single"/>
                </w:rPr>
                <w:t>Financial Statements (unaudited)</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148">
              <w:r>
                <w:rPr>
                  <w:rStyle w:val="InternetLink"/>
                  <w:rFonts w:ascii="Times New Roman;sans-serif" w:hAnsi="Times New Roman;sans-serif"/>
                  <w:b w:val="false"/>
                  <w:strike w:val="false"/>
                  <w:dstrike w:val="false"/>
                  <w:color w:val="000000"/>
                  <w:sz w:val="20"/>
                  <w:u w:val="none"/>
                  <w:effect w:val="non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54">
              <w:r>
                <w:rPr>
                  <w:rStyle w:val="InternetLink"/>
                  <w:rFonts w:ascii="Times New Roman;sans-serif" w:hAnsi="Times New Roman;sans-serif"/>
                  <w:b w:val="false"/>
                  <w:color w:val="0000FF"/>
                  <w:sz w:val="20"/>
                  <w:u w:val="single"/>
                </w:rPr>
                <w:t>Condensed Consolidated Balance Sheets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154">
              <w:r>
                <w:rPr>
                  <w:rStyle w:val="InternetLink"/>
                  <w:rFonts w:ascii="Times New Roman;sans-serif" w:hAnsi="Times New Roman;sans-serif"/>
                  <w:b w:val="false"/>
                  <w:strike w:val="false"/>
                  <w:dstrike w:val="false"/>
                  <w:color w:val="000000"/>
                  <w:sz w:val="20"/>
                  <w:u w:val="none"/>
                  <w:effect w:val="non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57">
              <w:r>
                <w:rPr>
                  <w:rStyle w:val="InternetLink"/>
                  <w:rFonts w:ascii="Times New Roman;sans-serif" w:hAnsi="Times New Roman;sans-serif"/>
                  <w:b w:val="false"/>
                  <w:color w:val="0000FF"/>
                  <w:sz w:val="20"/>
                  <w:u w:val="single"/>
                </w:rPr>
                <w:t>Condensed Consolidated Statements of Operations and Comprehensive Loss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157">
              <w:r>
                <w:rPr>
                  <w:rStyle w:val="InternetLink"/>
                  <w:rFonts w:ascii="Times New Roman;sans-serif" w:hAnsi="Times New Roman;sans-serif"/>
                  <w:b w:val="false"/>
                  <w:strike w:val="false"/>
                  <w:dstrike w:val="false"/>
                  <w:color w:val="000000"/>
                  <w:sz w:val="20"/>
                  <w:u w:val="none"/>
                  <w:effect w:val="non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60">
              <w:r>
                <w:rPr>
                  <w:rStyle w:val="InternetLink"/>
                  <w:rFonts w:ascii="Times New Roman;sans-serif" w:hAnsi="Times New Roman;sans-serif"/>
                  <w:b w:val="false"/>
                  <w:color w:val="0000FF"/>
                  <w:sz w:val="20"/>
                  <w:u w:val="single"/>
                </w:rPr>
                <w:t>Condensed Consolidated Statements of Stockholders’ Equity</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160">
              <w:r>
                <w:rPr>
                  <w:rStyle w:val="InternetLink"/>
                  <w:rFonts w:ascii="Times New Roman;sans-serif" w:hAnsi="Times New Roman;sans-serif"/>
                  <w:b w:val="false"/>
                  <w:strike w:val="false"/>
                  <w:dstrike w:val="false"/>
                  <w:color w:val="000000"/>
                  <w:sz w:val="20"/>
                  <w:u w:val="none"/>
                  <w:effect w:val="non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63">
              <w:r>
                <w:rPr>
                  <w:rStyle w:val="InternetLink"/>
                  <w:rFonts w:ascii="Times New Roman;sans-serif" w:hAnsi="Times New Roman;sans-serif"/>
                  <w:b w:val="false"/>
                  <w:color w:val="0000FF"/>
                  <w:sz w:val="20"/>
                  <w:u w:val="single"/>
                </w:rPr>
                <w:t>Condensed Consolidated Statements of Cash Flows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163">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66">
              <w:r>
                <w:rPr>
                  <w:rStyle w:val="InternetLink"/>
                  <w:rFonts w:ascii="Times New Roman;sans-serif" w:hAnsi="Times New Roman;sans-serif"/>
                  <w:b w:val="false"/>
                  <w:color w:val="0000FF"/>
                  <w:sz w:val="20"/>
                  <w:u w:val="single"/>
                </w:rPr>
                <w:t>Notes to Condensed Consolidated Financial Statements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166">
              <w:r>
                <w:rPr>
                  <w:rStyle w:val="InternetLink"/>
                  <w:rFonts w:ascii="Times New Roman;sans-serif" w:hAnsi="Times New Roman;sans-serif"/>
                  <w:b w:val="false"/>
                  <w:strike w:val="false"/>
                  <w:dstrike w:val="false"/>
                  <w:color w:val="000000"/>
                  <w:sz w:val="20"/>
                  <w:u w:val="none"/>
                  <w:effect w:val="non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09">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109">
              <w:r>
                <w:rPr>
                  <w:rStyle w:val="InternetLink"/>
                  <w:rFonts w:ascii="Times New Roman;sans-serif" w:hAnsi="Times New Roman;sans-serif"/>
                  <w:b w:val="false"/>
                  <w:strike w:val="false"/>
                  <w:dstrike w:val="false"/>
                  <w:color w:val="000000"/>
                  <w:sz w:val="20"/>
                  <w:u w:val="none"/>
                  <w:effect w:val="none"/>
                </w:rPr>
                <w:t>28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45">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45">
              <w:r>
                <w:rPr>
                  <w:rStyle w:val="InternetLink"/>
                  <w:rFonts w:ascii="Times New Roman;sans-serif" w:hAnsi="Times New Roman;sans-serif"/>
                  <w:b w:val="false"/>
                  <w:color w:val="0000FF"/>
                  <w:sz w:val="20"/>
                  <w:u w:val="single"/>
                </w:rPr>
                <w:t>Quantitative and Qualitative Disclosures About Market Risk</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145">
              <w:r>
                <w:rPr>
                  <w:rStyle w:val="InternetLink"/>
                  <w:rFonts w:ascii="Times New Roman;sans-serif" w:hAnsi="Times New Roman;sans-serif"/>
                  <w:b w:val="false"/>
                  <w:strike w:val="false"/>
                  <w:dstrike w:val="false"/>
                  <w:color w:val="000000"/>
                  <w:sz w:val="20"/>
                  <w:u w:val="none"/>
                  <w:effect w:val="none"/>
                </w:rPr>
                <w:t>40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238">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238">
              <w:r>
                <w:rPr>
                  <w:rStyle w:val="InternetLink"/>
                  <w:rFonts w:ascii="Times New Roman;sans-serif" w:hAnsi="Times New Roman;sans-serif"/>
                  <w:b w:val="false"/>
                  <w:color w:val="0000FF"/>
                  <w:sz w:val="20"/>
                  <w:u w:val="single"/>
                </w:rPr>
                <w:t>Controls and Procedures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238">
              <w:r>
                <w:rPr>
                  <w:rStyle w:val="InternetLink"/>
                  <w:rFonts w:ascii="Times New Roman;sans-serif" w:hAnsi="Times New Roman;sans-serif"/>
                  <w:b w:val="false"/>
                  <w:strike w:val="false"/>
                  <w:dstrike w:val="false"/>
                  <w:color w:val="000000"/>
                  <w:sz w:val="20"/>
                  <w:u w:val="none"/>
                  <w:effect w:val="none"/>
                </w:rPr>
                <w:t>41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00">
              <w:r>
                <w:rPr>
                  <w:rStyle w:val="InternetLink"/>
                  <w:rFonts w:ascii="Times New Roman;sans-serif" w:hAnsi="Times New Roman;sans-serif"/>
                  <w:b/>
                  <w:color w:val="0000FF"/>
                  <w:sz w:val="20"/>
                  <w:u w:val="single"/>
                </w:rPr>
                <w:t>Part II - Other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94">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1f8da6d445b4c3f98f2f28d37fce7c5_94">
              <w:r>
                <w:rPr>
                  <w:rStyle w:val="InternetLink"/>
                  <w:rFonts w:ascii="Times New Roman;sans-serif" w:hAnsi="Times New Roman;sans-serif"/>
                  <w:b w:val="false"/>
                  <w:color w:val="0000FF"/>
                  <w:sz w:val="20"/>
                  <w:u w:val="single"/>
                </w:rPr>
                <w:t>Legal Proceedings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94">
              <w:r>
                <w:rPr>
                  <w:rStyle w:val="InternetLink"/>
                  <w:rFonts w:ascii="Times New Roman;sans-serif" w:hAnsi="Times New Roman;sans-serif"/>
                  <w:b w:val="false"/>
                  <w:strike w:val="false"/>
                  <w:dstrike w:val="false"/>
                  <w:color w:val="000000"/>
                  <w:sz w:val="20"/>
                  <w:u w:val="none"/>
                  <w:effect w:val="none"/>
                </w:rPr>
                <w:t>43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64">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64">
              <w:r>
                <w:rPr>
                  <w:rStyle w:val="InternetLink"/>
                  <w:rFonts w:ascii="Times New Roman;sans-serif" w:hAnsi="Times New Roman;sans-serif"/>
                  <w:b w:val="false"/>
                  <w:color w:val="0000FF"/>
                  <w:sz w:val="20"/>
                  <w:u w:val="single"/>
                </w:rPr>
                <w:t>Risk Factors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64">
              <w:r>
                <w:rPr>
                  <w:rStyle w:val="InternetLink"/>
                  <w:rFonts w:ascii="Times New Roman;sans-serif" w:hAnsi="Times New Roman;sans-serif"/>
                  <w:b w:val="false"/>
                  <w:strike w:val="false"/>
                  <w:dstrike w:val="false"/>
                  <w:color w:val="000000"/>
                  <w:sz w:val="20"/>
                  <w:u w:val="none"/>
                  <w:effect w:val="none"/>
                </w:rPr>
                <w:t>43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986">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986">
              <w:r>
                <w:rPr>
                  <w:rStyle w:val="InternetLink"/>
                  <w:rFonts w:ascii="Times New Roman;sans-serif" w:hAnsi="Times New Roman;sans-serif"/>
                  <w:b w:val="false"/>
                  <w:color w:val="0000FF"/>
                  <w:sz w:val="20"/>
                  <w:u w:val="single"/>
                </w:rPr>
                <w:t>Unregistered Sales of Equity Securities and Use of Proceeds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986">
              <w:r>
                <w:rPr>
                  <w:rStyle w:val="InternetLink"/>
                  <w:rFonts w:ascii="Times New Roman;sans-serif" w:hAnsi="Times New Roman;sans-serif"/>
                  <w:b w:val="false"/>
                  <w:strike w:val="false"/>
                  <w:dstrike w:val="false"/>
                  <w:color w:val="000000"/>
                  <w:sz w:val="20"/>
                  <w:u w:val="none"/>
                  <w:effect w:val="none"/>
                </w:rPr>
                <w:t>43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97">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97">
              <w:r>
                <w:rPr>
                  <w:rStyle w:val="InternetLink"/>
                  <w:rFonts w:ascii="Times New Roman;sans-serif" w:hAnsi="Times New Roman;sans-serif"/>
                  <w:b w:val="false"/>
                  <w:color w:val="0000FF"/>
                  <w:sz w:val="20"/>
                  <w:u w:val="single"/>
                </w:rPr>
                <w:t>Defaults Upon Senior Securities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97">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977">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977">
              <w:r>
                <w:rPr>
                  <w:rStyle w:val="InternetLink"/>
                  <w:rFonts w:ascii="Times New Roman;sans-serif" w:hAnsi="Times New Roman;sans-serif"/>
                  <w:b w:val="false"/>
                  <w:color w:val="0000FF"/>
                  <w:sz w:val="20"/>
                  <w:u w:val="single"/>
                </w:rPr>
                <w:t>Mine Safety Disclosures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977">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03">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103">
              <w:r>
                <w:rPr>
                  <w:rStyle w:val="InternetLink"/>
                  <w:rFonts w:ascii="Times New Roman;sans-serif" w:hAnsi="Times New Roman;sans-serif"/>
                  <w:b w:val="false"/>
                  <w:color w:val="0000FF"/>
                  <w:sz w:val="20"/>
                  <w:u w:val="single"/>
                </w:rPr>
                <w:t>Other Information</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103">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268">
              <w:r>
                <w:rPr>
                  <w:rStyle w:val="InternetLink"/>
                  <w:rFonts w:ascii="Times New Roman;sans-serif" w:hAnsi="Times New Roman;sans-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268">
              <w:r>
                <w:rPr>
                  <w:rStyle w:val="InternetLink"/>
                  <w:rFonts w:ascii="Times New Roman;sans-serif" w:hAnsi="Times New Roman;sans-serif"/>
                  <w:b w:val="false"/>
                  <w:color w:val="0000FF"/>
                  <w:sz w:val="20"/>
                  <w:u w:val="single"/>
                </w:rPr>
                <w:t>Exhibits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268">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f8da6d445b4c3f98f2f28d37fce7c5_274">
              <w:r>
                <w:rPr>
                  <w:rStyle w:val="InternetLink"/>
                  <w:rFonts w:ascii="Times New Roman;sans-serif" w:hAnsi="Times New Roman;sans-serif"/>
                  <w:b w:val="false"/>
                  <w:color w:val="0000FF"/>
                  <w:sz w:val="20"/>
                  <w:u w:val="single"/>
                </w:rPr>
                <w:t>Signatures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8da6d445b4c3f98f2f28d37fce7c5_274">
              <w:r>
                <w:rPr>
                  <w:rStyle w:val="InternetLink"/>
                  <w:rFonts w:ascii="Times New Roman;sans-serif" w:hAnsi="Times New Roman;sans-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bookmarkStart w:id="0" w:name="ib1df1ba44d8a49c4a6985dc2a09cdfee_6267"/>
      <w:bookmarkEnd w:id="0"/>
      <w:r>
        <w:rPr>
          <w:rFonts w:ascii="Times New Roman;sans-serif" w:hAnsi="Times New Roman;sans-serif"/>
          <w:b/>
          <w:color w:val="000000"/>
          <w:sz w:val="20"/>
        </w:rPr>
        <w:t>FORWARD-LOOKING STATEMENTS</w:t>
      </w:r>
    </w:p>
    <w:p>
      <w:pPr>
        <w:pStyle w:val="TextBody"/>
        <w:bidi w:val="0"/>
        <w:spacing w:lineRule="auto" w:line="288" w:before="24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Exchange Act. These forward-looking statements involve risks and uncertainties regarding, among other things, (a) our projected sales, profitability, and cash flows, (b) our growth strategy, (c) anticipated trends in our industry, (d) our future financing plans, and (e) our anticipated needs for, and use of, working capital.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Quarterly Report on Form 10-Q. In light of these risks and uncertainties, there can be no assurance that the forward-looking statements contained in this filing will in fact occur. You should not place undue reliance on these forward-looking statements.</w:t>
      </w:r>
    </w:p>
    <w:p>
      <w:pPr>
        <w:pStyle w:val="TextBody"/>
        <w:bidi w:val="0"/>
        <w:spacing w:lineRule="auto" w:line="288" w:before="24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13"/>
        <w:gridCol w:w="2315"/>
        <w:gridCol w:w="2311"/>
        <w:gridCol w:w="211"/>
        <w:gridCol w:w="826"/>
        <w:gridCol w:w="109"/>
        <w:gridCol w:w="109"/>
        <w:gridCol w:w="109"/>
        <w:gridCol w:w="109"/>
        <w:gridCol w:w="211"/>
        <w:gridCol w:w="826"/>
        <w:gridCol w:w="156"/>
      </w:tblGrid>
      <w:tr>
        <w:trPr/>
        <w:tc>
          <w:tcPr>
            <w:tcW w:w="2913"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current ($4,870 and $3,513 measured at fair value,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noncurrent ($2,068 and $3,425 measured at fair value,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11)</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100,000,000 shares authorized as of March 31, 2023 and December 31, 2022; 66,295,831 and 65,239,843 issued and outstanding as of March 31, 2023 and December 31,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from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321,128 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339,630 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condensed consolidated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66" w:type="dxa"/>
        <w:jc w:val="left"/>
        <w:tblInd w:w="0" w:type="dxa"/>
        <w:tblLayout w:type="fixed"/>
        <w:tblCellMar>
          <w:top w:w="28" w:type="dxa"/>
          <w:left w:w="28" w:type="dxa"/>
          <w:bottom w:w="28" w:type="dxa"/>
          <w:right w:w="28" w:type="dxa"/>
        </w:tblCellMar>
      </w:tblPr>
      <w:tblGrid>
        <w:gridCol w:w="2398"/>
        <w:gridCol w:w="2105"/>
        <w:gridCol w:w="2111"/>
        <w:gridCol w:w="240"/>
        <w:gridCol w:w="841"/>
        <w:gridCol w:w="109"/>
        <w:gridCol w:w="109"/>
        <w:gridCol w:w="109"/>
        <w:gridCol w:w="109"/>
        <w:gridCol w:w="240"/>
        <w:gridCol w:w="841"/>
        <w:gridCol w:w="154"/>
      </w:tblGrid>
      <w:tr>
        <w:trPr/>
        <w:tc>
          <w:tcPr>
            <w:tcW w:w="2398"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 (Note 18)</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61,192,576 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diluted (Note 18)</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61,879,502 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831" w:type="dxa"/>
        <w:jc w:val="center"/>
        <w:tblInd w:w="0" w:type="dxa"/>
        <w:tblLayout w:type="fixed"/>
        <w:tblCellMar>
          <w:top w:w="28" w:type="dxa"/>
          <w:left w:w="28" w:type="dxa"/>
          <w:bottom w:w="28" w:type="dxa"/>
          <w:right w:w="28" w:type="dxa"/>
        </w:tblCellMar>
      </w:tblPr>
      <w:tblGrid>
        <w:gridCol w:w="638"/>
        <w:gridCol w:w="311"/>
        <w:gridCol w:w="312"/>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244"/>
        <w:gridCol w:w="470"/>
        <w:gridCol w:w="127"/>
        <w:gridCol w:w="109"/>
        <w:gridCol w:w="109"/>
        <w:gridCol w:w="109"/>
        <w:gridCol w:w="211"/>
        <w:gridCol w:w="841"/>
        <w:gridCol w:w="109"/>
        <w:gridCol w:w="109"/>
        <w:gridCol w:w="109"/>
        <w:gridCol w:w="109"/>
        <w:gridCol w:w="376"/>
        <w:gridCol w:w="644"/>
        <w:gridCol w:w="196"/>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Due</w:t>
              <w:br/>
              <w:t>from </w:t>
              <w:br/>
              <w:t>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65,239,843 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due from affiliate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66,295,831 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831" w:type="dxa"/>
        <w:jc w:val="left"/>
        <w:tblInd w:w="0" w:type="dxa"/>
        <w:tblLayout w:type="fixed"/>
        <w:tblCellMar>
          <w:top w:w="28" w:type="dxa"/>
          <w:left w:w="28" w:type="dxa"/>
          <w:bottom w:w="28" w:type="dxa"/>
          <w:right w:w="28" w:type="dxa"/>
        </w:tblCellMar>
      </w:tblPr>
      <w:tblGrid>
        <w:gridCol w:w="638"/>
        <w:gridCol w:w="311"/>
        <w:gridCol w:w="312"/>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211"/>
        <w:gridCol w:w="521"/>
        <w:gridCol w:w="109"/>
        <w:gridCol w:w="109"/>
        <w:gridCol w:w="109"/>
        <w:gridCol w:w="109"/>
        <w:gridCol w:w="211"/>
        <w:gridCol w:w="841"/>
        <w:gridCol w:w="109"/>
        <w:gridCol w:w="109"/>
        <w:gridCol w:w="109"/>
        <w:gridCol w:w="109"/>
        <w:gridCol w:w="353"/>
        <w:gridCol w:w="680"/>
        <w:gridCol w:w="183"/>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Due</w:t>
              <w:br/>
              <w:t>from </w:t>
              <w:br/>
              <w:t>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Stockholders’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60,221,799 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 relating to notes due from affiliates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61,469,777 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U.S. $, 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8979" w:type="dxa"/>
        <w:jc w:val="left"/>
        <w:tblInd w:w="0" w:type="dxa"/>
        <w:tblLayout w:type="fixed"/>
        <w:tblCellMar>
          <w:top w:w="28" w:type="dxa"/>
          <w:left w:w="28" w:type="dxa"/>
          <w:bottom w:w="28" w:type="dxa"/>
          <w:right w:w="28" w:type="dxa"/>
        </w:tblCellMar>
      </w:tblPr>
      <w:tblGrid>
        <w:gridCol w:w="2309"/>
        <w:gridCol w:w="2026"/>
        <w:gridCol w:w="2040"/>
        <w:gridCol w:w="211"/>
        <w:gridCol w:w="796"/>
        <w:gridCol w:w="109"/>
        <w:gridCol w:w="109"/>
        <w:gridCol w:w="109"/>
        <w:gridCol w:w="109"/>
        <w:gridCol w:w="211"/>
        <w:gridCol w:w="796"/>
        <w:gridCol w:w="154"/>
      </w:tblGrid>
      <w:tr>
        <w:trPr/>
        <w:tc>
          <w:tcPr>
            <w:tcW w:w="23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in connection with revesting notes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and dividend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revaluation of contingent consideration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 from affiliate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write-off</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notes due from affiliates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deferred offering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Beginning of the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End of the Period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tbl>
      <w:tblPr>
        <w:tblW w:w="7089" w:type="dxa"/>
        <w:jc w:val="left"/>
        <w:tblInd w:w="0" w:type="dxa"/>
        <w:tblLayout w:type="fixed"/>
        <w:tblCellMar>
          <w:top w:w="28" w:type="dxa"/>
          <w:left w:w="28" w:type="dxa"/>
          <w:bottom w:w="28" w:type="dxa"/>
          <w:right w:w="28" w:type="dxa"/>
        </w:tblCellMar>
      </w:tblPr>
      <w:tblGrid>
        <w:gridCol w:w="1793"/>
        <w:gridCol w:w="1575"/>
        <w:gridCol w:w="1582"/>
        <w:gridCol w:w="211"/>
        <w:gridCol w:w="406"/>
        <w:gridCol w:w="109"/>
        <w:gridCol w:w="109"/>
        <w:gridCol w:w="109"/>
        <w:gridCol w:w="109"/>
        <w:gridCol w:w="211"/>
        <w:gridCol w:w="721"/>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interest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 in connection with an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warrants held as investment in affiliate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capitalized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investing and financing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table of cash, cash equivalents, and restricted cash reported within the balance sheets totaling the same such amounts shown above: </w:t>
      </w:r>
    </w:p>
    <w:tbl>
      <w:tblPr>
        <w:tblW w:w="6444" w:type="dxa"/>
        <w:jc w:val="left"/>
        <w:tblInd w:w="0" w:type="dxa"/>
        <w:tblLayout w:type="fixed"/>
        <w:tblCellMar>
          <w:top w:w="28" w:type="dxa"/>
          <w:left w:w="28" w:type="dxa"/>
          <w:bottom w:w="28" w:type="dxa"/>
          <w:right w:w="28" w:type="dxa"/>
        </w:tblCellMar>
      </w:tblPr>
      <w:tblGrid>
        <w:gridCol w:w="1445"/>
        <w:gridCol w:w="1269"/>
        <w:gridCol w:w="1276"/>
        <w:gridCol w:w="211"/>
        <w:gridCol w:w="721"/>
        <w:gridCol w:w="109"/>
        <w:gridCol w:w="109"/>
        <w:gridCol w:w="109"/>
        <w:gridCol w:w="109"/>
        <w:gridCol w:w="211"/>
        <w:gridCol w:w="72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Inc. (the “Company”) is a leading technology platform used to locate the people, pets and things that matter most to families. The Company was incorporated in the State of Delaware in 2007. The Company’s core offering, the Life360 mobile application, includes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monetization arrangements with certain commercial third parties (“Data Revenue Partners”) through Lead Generation and license agreements (including aggregated insights into the data collected from the Company’s user base). On September 1, 2021, the Company acquired all ownership interests of Jio, Inc (“Jiobit”). Jiobit is a provider of wearable location devices for young children, pets, and seniors. On January 5, 2022, the Company acquired all ownership interests of Tile, Inc. (“Tile”). Tile is a smart location company whose products include a Bluetooth enabled device and related accessories that work in tandem with the Tile application to enable its customers to locate lost or misplaced objects.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12, 2023, the Company announced a workforce restructure which resulted in a reduction of the Company’s workforce of approximately 14%. The Company incurred $3.3 million in non-recurring personnel and severance related expenses in connection with the restructure during the three months ended March 31, 2023. As of March 31, 2023, approximately $0.4 million of the expense incurred remains unpaid and is included within accrued expenses and other current liabilities on the condensed consolidated balance sheet.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restructuring costs are recognized in the condensed consolidated statements of operations for the three months ended March 31, 2023 as follows (in thousands):</w:t>
      </w:r>
    </w:p>
    <w:p>
      <w:pPr>
        <w:pStyle w:val="TextBody"/>
        <w:bidi w:val="0"/>
        <w:spacing w:before="0" w:after="0"/>
        <w:jc w:val="both"/>
        <w:rPr/>
      </w:pPr>
      <w:r>
        <w:rPr/>
      </w:r>
    </w:p>
    <w:tbl>
      <w:tblPr>
        <w:tblW w:w="5999" w:type="dxa"/>
        <w:jc w:val="left"/>
        <w:tblInd w:w="0" w:type="dxa"/>
        <w:tblLayout w:type="fixed"/>
        <w:tblCellMar>
          <w:top w:w="28" w:type="dxa"/>
          <w:left w:w="28" w:type="dxa"/>
          <w:bottom w:w="28" w:type="dxa"/>
          <w:right w:w="28" w:type="dxa"/>
        </w:tblCellMar>
      </w:tblPr>
      <w:tblGrid>
        <w:gridCol w:w="886"/>
        <w:gridCol w:w="777"/>
        <w:gridCol w:w="782"/>
        <w:gridCol w:w="764"/>
        <w:gridCol w:w="2232"/>
        <w:gridCol w:w="558"/>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Personnel and Severance and Related Expenses</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2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below are select significant accounting policies. Refer to Note 2, “Summary of Significant Accounting Policies” in our Annual Report on Form 10-K for a full list of our significant accounting policies.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Consolidation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which include the accounts of the Company and its wholly owned subsidiaries, have been prepared in conformity with accounting principles generally accepted in the United States of America (“GAAP”) for interim periods and following the requirements of the Securities and Exchange Commission (“SEC”) for interim reporting. As permitted under those rules, certain footnotes or other financial information that is normally required by GAAP can be condensed or omitted. All intercompany balances and transactions have been eliminated in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2022, included herein, was derived from the audited financial statements as of that date. In the opinion of the Company’s management, the condensed consolidated financial statements reflect all normal recurring adjustments necessary for a fair statement of the results of operations for the interim periods presented and are not necessarily indicative of the Company’s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should be read in conjunction with the audited consolidated financial statements and notes thereto included in the Company’s Annual Report on Form 10-K for the fiscal year ended December 31, 2022, filed with the Securities and Exchange Commission (“SEC”) on March 23,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Reclassification of Prior Year Statement of Cash Flows Presentation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year amounts on the condensed consolidated statement of cash flows have been reclassified for consistency with the current year presentation. These reclassifications had no effect on the reported results of operations. An adjustment has been made to the condensed consolidated statements of cash flows for the three months ended March 31, 2022 to reclassify internal use software, amortization of costs capitalized to obtain contracts, and non-cash revenue from affiliate. Such reclassifications had no material impact to the Company’s financial positions, operating cash flows, net loss or net loss per share attributable to common stockholders.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allowances for credit losses and product returns;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promotional and marketing allowances;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inventory valuation;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average useful customer life;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valuation of stock-based awards;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legal contingencies;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impairment of long-lived assets and goodwill;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valuation of contingent consideration, convertible notes and embedded derivatives;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useful lives of long-lived assets;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income taxes including valuation allowances on deferred tax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bases its estimates and judgments on historical experience and on various assumptions that it believes are reasonable under the circumstances. Actual results could differ significantly from those estimates.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Accounting pronouncements not yet adopted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there are several new accounting standards issued or proposed by the FASB, which the Company will adopt, as applicable, the Company does not believe any of these accounting pronouncements will have a material impact on its condensed consolidated financial statements.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Risk and Significant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depends on the constant real-time performance, reliability and availability of its technology system and access to its partner’s networks. The Company primarily relies on a single technology partner for its cloud platform and a limited number of contract manufacturers to assemble components of the Jiobit and Tile hardware tracking devices. Any adverse impacts to the platform and the contract manufacturers could negatively impact the Company’s relationships with its partners or users and may adversely impact its business, financial performance, and reputation.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derives its accounts receivable from revenue earned from customers located in the United States and internationally. Channel and retail partners account for the majority of the Company’s revenue and accounts receivable for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information about the Company’s channel and retail partners who represented greater than 10% of its revenue or accounts receivable, respectively: </w:t>
      </w:r>
    </w:p>
    <w:tbl>
      <w:tblPr>
        <w:tblW w:w="4045" w:type="dxa"/>
        <w:jc w:val="left"/>
        <w:tblInd w:w="0" w:type="dxa"/>
        <w:tblLayout w:type="fixed"/>
        <w:tblCellMar>
          <w:top w:w="28" w:type="dxa"/>
          <w:left w:w="28" w:type="dxa"/>
          <w:bottom w:w="28" w:type="dxa"/>
          <w:right w:w="28" w:type="dxa"/>
        </w:tblCellMar>
      </w:tblPr>
      <w:tblGrid>
        <w:gridCol w:w="582"/>
        <w:gridCol w:w="510"/>
        <w:gridCol w:w="512"/>
        <w:gridCol w:w="196"/>
        <w:gridCol w:w="196"/>
        <w:gridCol w:w="490"/>
        <w:gridCol w:w="196"/>
        <w:gridCol w:w="196"/>
        <w:gridCol w:w="196"/>
        <w:gridCol w:w="196"/>
        <w:gridCol w:w="196"/>
        <w:gridCol w:w="579"/>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w:t>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B</w:t>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tbl>
      <w:tblPr>
        <w:tblW w:w="5201" w:type="dxa"/>
        <w:jc w:val="left"/>
        <w:tblInd w:w="0" w:type="dxa"/>
        <w:tblLayout w:type="fixed"/>
        <w:tblCellMar>
          <w:top w:w="28" w:type="dxa"/>
          <w:left w:w="28" w:type="dxa"/>
          <w:bottom w:w="28" w:type="dxa"/>
          <w:right w:w="28" w:type="dxa"/>
        </w:tblCellMar>
      </w:tblPr>
      <w:tblGrid>
        <w:gridCol w:w="582"/>
        <w:gridCol w:w="510"/>
        <w:gridCol w:w="512"/>
        <w:gridCol w:w="284"/>
        <w:gridCol w:w="284"/>
        <w:gridCol w:w="707"/>
        <w:gridCol w:w="254"/>
        <w:gridCol w:w="254"/>
        <w:gridCol w:w="254"/>
        <w:gridCol w:w="318"/>
        <w:gridCol w:w="318"/>
        <w:gridCol w:w="924"/>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Gross Accounts Receivable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Partner A</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Restricted Cash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of $14.7 million and $14.9 million were restricted from withdrawal as of March 31, 2023 and December 31, 2022, respectively. The restricted cash balance of $13.1 million as of March 31, 2023 relates to funds placed in an indemnity escrow fund to be held for fifteen months after the acquisition date of Tile (i.e., through April 2023) for general representations and warranties. The restricted cash balances associated with the Tile indemnity escrow fund is included within restricted cash, current on the accompanying balance sheet.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restricted cash, noncurrent balance of $1.6 million as of March 31, 2023 relates to cash deposits restricted under letters of credit issued on behalf of the Company in support of indebtedness to trade creditors incurred in the ordinary course of business. The restricted cash, noncurrent balance of $1.6 million as of December 31, 2022 relates to funds placed in an indemnity escrow fund after the acquisition of Jiobit, and facility lease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3.    Segment and Geographic Information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geography is generally based on the address of the customer as defined in the contract with the customer. The following table sets forth revenue by geographic region (in thousands):</w:t>
      </w:r>
    </w:p>
    <w:tbl>
      <w:tblPr>
        <w:tblW w:w="5124" w:type="dxa"/>
        <w:jc w:val="left"/>
        <w:tblInd w:w="0" w:type="dxa"/>
        <w:tblLayout w:type="fixed"/>
        <w:tblCellMar>
          <w:top w:w="28" w:type="dxa"/>
          <w:left w:w="28" w:type="dxa"/>
          <w:bottom w:w="28" w:type="dxa"/>
          <w:right w:w="28" w:type="dxa"/>
        </w:tblCellMar>
      </w:tblPr>
      <w:tblGrid>
        <w:gridCol w:w="966"/>
        <w:gridCol w:w="849"/>
        <w:gridCol w:w="855"/>
        <w:gridCol w:w="211"/>
        <w:gridCol w:w="721"/>
        <w:gridCol w:w="109"/>
        <w:gridCol w:w="109"/>
        <w:gridCol w:w="109"/>
        <w:gridCol w:w="109"/>
        <w:gridCol w:w="211"/>
        <w:gridCol w:w="72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 regions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4.    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the Company recognized revenue of $16.8 million and $12.1 million, respectively, that was included in the deferred revenue balance at the beginning of each respective period.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expected to be recognized from remaining performance obligations was $32.5 million as of March 31, 2023, of which the Company expects $30.1 million to be recognized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5.    Costs Capitalized to Obtain Contracts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of obtaining new revenue contracts are deferred and then amortized on a straight-line basis over the related period of benefit, which is three years for the three months ended March 31, 2023 and approximately two to three years depending on the subscription type for the three months ended March 31,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 forward of the Company’s costs capitalized to obtain contracts, net (in thousands):</w:t>
      </w:r>
    </w:p>
    <w:tbl>
      <w:tblPr>
        <w:tblW w:w="7224" w:type="dxa"/>
        <w:jc w:val="left"/>
        <w:tblInd w:w="0" w:type="dxa"/>
        <w:tblLayout w:type="fixed"/>
        <w:tblCellMar>
          <w:top w:w="28" w:type="dxa"/>
          <w:left w:w="28" w:type="dxa"/>
          <w:bottom w:w="28" w:type="dxa"/>
          <w:right w:w="28" w:type="dxa"/>
        </w:tblCellMar>
      </w:tblPr>
      <w:tblGrid>
        <w:gridCol w:w="1733"/>
        <w:gridCol w:w="1522"/>
        <w:gridCol w:w="1530"/>
        <w:gridCol w:w="229"/>
        <w:gridCol w:w="671"/>
        <w:gridCol w:w="118"/>
        <w:gridCol w:w="118"/>
        <w:gridCol w:w="118"/>
        <w:gridCol w:w="118"/>
        <w:gridCol w:w="229"/>
        <w:gridCol w:w="671"/>
        <w:gridCol w:w="167"/>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to obtain contracts, beginning of period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costs capitalized to obtain contracts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capitalized costs to obtain contracts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costs to obtain contracts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to obtain contracts, end of period</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6.    Fair Value Measurements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Three levels of inputs may be used to measure as follows: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such as quoted prices in active markets for identical assets or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inputs other than Level 1 prices, such as quoted prices for similar assets or liabilities, or other inputs that are observable or can be corroborated by observable market data for substantially the full term of the assets or liabilities.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Valuations based on unobservable inputs to the valuation methodology and including data about assumptions market participants would use in pricing the asset or liability based on the best information available under the circumstances.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and cash equivalents, prepaid expenses, accounts receivable, and accounts payable approximate fair value due to their short-term maturities.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and reports certain assets and liabilities at fair value on a recurring basis.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these assets and liabilities as of March 31, 2023 and December 31, 2022 are classified as follows (in thousands): </w:t>
      </w:r>
    </w:p>
    <w:tbl>
      <w:tblPr>
        <w:tblW w:w="6944" w:type="dxa"/>
        <w:jc w:val="left"/>
        <w:tblInd w:w="0" w:type="dxa"/>
        <w:tblLayout w:type="fixed"/>
        <w:tblCellMar>
          <w:top w:w="28" w:type="dxa"/>
          <w:left w:w="28" w:type="dxa"/>
          <w:bottom w:w="28" w:type="dxa"/>
          <w:right w:w="28" w:type="dxa"/>
        </w:tblCellMar>
      </w:tblPr>
      <w:tblGrid>
        <w:gridCol w:w="899"/>
        <w:gridCol w:w="790"/>
        <w:gridCol w:w="801"/>
        <w:gridCol w:w="246"/>
        <w:gridCol w:w="475"/>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624" w:type="dxa"/>
            <w:gridSpan w:val="18"/>
            <w:tcBorders/>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10)</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9)</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44" w:type="dxa"/>
        <w:jc w:val="left"/>
        <w:tblInd w:w="0" w:type="dxa"/>
        <w:tblLayout w:type="fixed"/>
        <w:tblCellMar>
          <w:top w:w="28" w:type="dxa"/>
          <w:left w:w="28" w:type="dxa"/>
          <w:bottom w:w="28" w:type="dxa"/>
          <w:right w:w="28" w:type="dxa"/>
        </w:tblCellMar>
      </w:tblPr>
      <w:tblGrid>
        <w:gridCol w:w="899"/>
        <w:gridCol w:w="790"/>
        <w:gridCol w:w="801"/>
        <w:gridCol w:w="246"/>
        <w:gridCol w:w="475"/>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10)</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9)</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fair value of the Level 3 instruments were as follows (in thousands): </w:t>
      </w:r>
    </w:p>
    <w:tbl>
      <w:tblPr>
        <w:tblW w:w="4963" w:type="dxa"/>
        <w:jc w:val="left"/>
        <w:tblInd w:w="0" w:type="dxa"/>
        <w:tblLayout w:type="fixed"/>
        <w:tblCellMar>
          <w:top w:w="28" w:type="dxa"/>
          <w:left w:w="28" w:type="dxa"/>
          <w:bottom w:w="28" w:type="dxa"/>
          <w:right w:w="28" w:type="dxa"/>
        </w:tblCellMar>
      </w:tblPr>
      <w:tblGrid>
        <w:gridCol w:w="999"/>
        <w:gridCol w:w="878"/>
        <w:gridCol w:w="882"/>
        <w:gridCol w:w="233"/>
        <w:gridCol w:w="516"/>
        <w:gridCol w:w="122"/>
        <w:gridCol w:w="109"/>
        <w:gridCol w:w="109"/>
        <w:gridCol w:w="109"/>
        <w:gridCol w:w="216"/>
        <w:gridCol w:w="631"/>
        <w:gridCol w:w="159"/>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 xml:space="preserve">liability </w:t>
              <w:br/>
              <w:t>(Note 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9)</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333"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revesting notes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97" w:type="dxa"/>
        <w:jc w:val="left"/>
        <w:tblInd w:w="0" w:type="dxa"/>
        <w:tblLayout w:type="fixed"/>
        <w:tblCellMar>
          <w:top w:w="28" w:type="dxa"/>
          <w:left w:w="28" w:type="dxa"/>
          <w:bottom w:w="28" w:type="dxa"/>
          <w:right w:w="28" w:type="dxa"/>
        </w:tblCellMar>
      </w:tblPr>
      <w:tblGrid>
        <w:gridCol w:w="2042"/>
        <w:gridCol w:w="1795"/>
        <w:gridCol w:w="1803"/>
        <w:gridCol w:w="211"/>
        <w:gridCol w:w="616"/>
        <w:gridCol w:w="109"/>
        <w:gridCol w:w="109"/>
        <w:gridCol w:w="109"/>
        <w:gridCol w:w="109"/>
        <w:gridCol w:w="211"/>
        <w:gridCol w:w="721"/>
        <w:gridCol w:w="109"/>
        <w:gridCol w:w="109"/>
        <w:gridCol w:w="109"/>
        <w:gridCol w:w="109"/>
        <w:gridCol w:w="242"/>
        <w:gridCol w:w="707"/>
        <w:gridCol w:w="177"/>
      </w:tblGrid>
      <w:tr>
        <w:trPr/>
        <w:tc>
          <w:tcPr>
            <w:tcW w:w="204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liability</w:t>
              <w:br/>
              <w:t>(Note 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w:t>
              <w:br/>
              <w:t>consideration</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revesting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of revesting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notes (Note 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settlement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Company recorded a gain associated with the change in fair value of the derivative liability and convertible notes of $14 thousand and $72 thousand, respectively. For the year ended December 31, 2022, the Company recorded a gain associated with the change in fair value of the derivative liability and convertible notes of $1.3 million and $1.8 million, respectively. The amounts have been recorded in other income (expense), net in the condensed consolidated statements of operations and comprehensive loss.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Company recorded a gain associated with the change in fair value of the contingent consideration of $5.3 million. The amounts have been recorded in general and administrative expense in the condensed consolidated statements of operations and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the Company recorded a loss associated with the change in fair value of the derivative liability and convertible notes of $0.9 million and $1.6 million, respectively. The amounts have been recorded in other income (expense), net in the condensed consolidated statements of operations and comprehensive loss.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 gain associated with the change in fair value of the contingent consideration of $4.0 million for the three months ended March 31, 2022 in general and administrative expense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Business Combinations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Tile, Inc.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2022, the Company completed the acquisition of Tile, Inc. (“Tile”), a privately held consumer electronics company. The company is based in San Mateo, California and was founded in 2012. Tile is a smart location company whose products include a Bluetooth enabled device and related accessories that work in tandem with the Tile application, to enable its customers to locate lost or misplaced objects. Tile offers a comprehensive list of products to use with the Tile application, along with optional subscription services to enhance features offered for Tile products. The addition of Tile is expected to strengthen and extend Life360’s market leadership position by leveraging Tile’s developed technology and customer relationships to accelerate the Company’s own product development and augment the Life360 team with a critical mass of talent. The aggregate purchase consideration was $173.5 million, of which $158.1 million was paid in cash and $15.4 million paid in equity. The $15.4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 Refer to Note 19 “Subsequent Events” for further details.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$35.0 million was excluded from purchase consideration which consists of retention compensation of 1,499,349 shares of retention restricted stock units valued at $29.6 million, $0.4 million related to 38,730 vested common stock options issued to Tile employees as stock-based compensation on the acquisition date and change in control bonuses of $3.0 million which were recognized as compensation expense on the condensed consolidated statements of operations on the acquisition date. The Company incurred transaction related expenses of $1.7 million, which were recorded under general and administrative expenses in the condensed consolidated statements of operations. The remaining costs excluded from purchase consideration were a result of 1,561 shares granted to key employee and vested based continued employment and 4,784 shares of contingent consideration granted to a key employee and vested based on continued employment.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1,499,349 shares of retention restricted stock units, 787,446 shares valued at $15.6 million contain performance vesting criteria based on the achievement of certain company milestones, and vest over a two year period. The remaining retention restricted stock units of 711,903 shares vest over a two to four year period.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was based on the Company’s achievement of certain targets for revenue and earnings before interest, taxes, depreciation, and amortization for the three months ended December 31, 2021 and the three months ended March 31, 2022. The Company determined that the criteria to satisfy the contingent consideration was not met, and as such, no value was ascribed to the contingent consideration.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was accounted for as a business combination and the total purchase consideration was allocated to the net tangible and intangible assets acquired and liabilities assumed based on their fair values on the acquisition date and the excess was recorded to goodwill. The provisional values assigned to the assets acquired and liabilities assumed were based on estimates of fair value and were finalized as of January 5,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assets acquired and liabilities assumed in connection with the acquisition were recorded at their fair value on the date of acquisition as follows (in thousands): </w:t>
      </w:r>
    </w:p>
    <w:tbl>
      <w:tblPr>
        <w:tblW w:w="5016" w:type="dxa"/>
        <w:jc w:val="left"/>
        <w:tblInd w:w="0" w:type="dxa"/>
        <w:tblLayout w:type="fixed"/>
        <w:tblCellMar>
          <w:top w:w="28" w:type="dxa"/>
          <w:left w:w="28" w:type="dxa"/>
          <w:bottom w:w="28" w:type="dxa"/>
          <w:right w:w="28" w:type="dxa"/>
        </w:tblCellMar>
      </w:tblPr>
      <w:tblGrid>
        <w:gridCol w:w="1379"/>
        <w:gridCol w:w="1212"/>
        <w:gridCol w:w="1234"/>
        <w:gridCol w:w="211"/>
        <w:gridCol w:w="82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identifiable intangible assets acquired and their estimated useful lives as of the date of acquisition: </w:t>
      </w:r>
    </w:p>
    <w:tbl>
      <w:tblPr>
        <w:tblW w:w="5605" w:type="dxa"/>
        <w:jc w:val="left"/>
        <w:tblInd w:w="0" w:type="dxa"/>
        <w:tblLayout w:type="fixed"/>
        <w:tblCellMar>
          <w:top w:w="28" w:type="dxa"/>
          <w:left w:w="28" w:type="dxa"/>
          <w:bottom w:w="28" w:type="dxa"/>
          <w:right w:w="28" w:type="dxa"/>
        </w:tblCellMar>
      </w:tblPr>
      <w:tblGrid>
        <w:gridCol w:w="1011"/>
        <w:gridCol w:w="886"/>
        <w:gridCol w:w="892"/>
        <w:gridCol w:w="228"/>
        <w:gridCol w:w="779"/>
        <w:gridCol w:w="118"/>
        <w:gridCol w:w="109"/>
        <w:gridCol w:w="109"/>
        <w:gridCol w:w="109"/>
        <w:gridCol w:w="399"/>
        <w:gridCol w:w="399"/>
        <w:gridCol w:w="566"/>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Useful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Life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identified intangible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future economic benefits arising from other assets that could not be individually identified and separately recognized, such as the acquired assembled workforce of Tile. In addition, goodwill represents the future benefits as a result of the acquisition that will enhance the Company’s product available to both new and existing customers and increase the Company’s competitive position. The goodwill is not deductible for tax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of Tile are included in the accompanying condensed consolidated statements of operations and comprehensive loss from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Balance Sheet Components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receivable, net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 xml:space="preserve">Accounts receivable, net consists of the following (in thousands): </w:t>
      </w:r>
    </w:p>
    <w:tbl>
      <w:tblPr>
        <w:tblW w:w="5935" w:type="dxa"/>
        <w:jc w:val="left"/>
        <w:tblInd w:w="0" w:type="dxa"/>
        <w:tblLayout w:type="fixed"/>
        <w:tblCellMar>
          <w:top w:w="28" w:type="dxa"/>
          <w:left w:w="28" w:type="dxa"/>
          <w:bottom w:w="28" w:type="dxa"/>
          <w:right w:w="28" w:type="dxa"/>
        </w:tblCellMar>
      </w:tblPr>
      <w:tblGrid>
        <w:gridCol w:w="1005"/>
        <w:gridCol w:w="883"/>
        <w:gridCol w:w="886"/>
        <w:gridCol w:w="258"/>
        <w:gridCol w:w="883"/>
        <w:gridCol w:w="133"/>
        <w:gridCol w:w="109"/>
        <w:gridCol w:w="109"/>
        <w:gridCol w:w="109"/>
        <w:gridCol w:w="303"/>
        <w:gridCol w:w="1036"/>
        <w:gridCol w:w="221"/>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consists of the following (in thousands): </w:t>
      </w:r>
    </w:p>
    <w:tbl>
      <w:tblPr>
        <w:tblW w:w="4556" w:type="dxa"/>
        <w:jc w:val="left"/>
        <w:tblInd w:w="0" w:type="dxa"/>
        <w:tblLayout w:type="fixed"/>
        <w:tblCellMar>
          <w:top w:w="28" w:type="dxa"/>
          <w:left w:w="28" w:type="dxa"/>
          <w:bottom w:w="28" w:type="dxa"/>
          <w:right w:w="28" w:type="dxa"/>
        </w:tblCellMar>
      </w:tblPr>
      <w:tblGrid>
        <w:gridCol w:w="505"/>
        <w:gridCol w:w="443"/>
        <w:gridCol w:w="447"/>
        <w:gridCol w:w="287"/>
        <w:gridCol w:w="839"/>
        <w:gridCol w:w="148"/>
        <w:gridCol w:w="109"/>
        <w:gridCol w:w="109"/>
        <w:gridCol w:w="109"/>
        <w:gridCol w:w="303"/>
        <w:gridCol w:w="1036"/>
        <w:gridCol w:w="221"/>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raw materials inventory write-off of $0.9 million for the three months ended March 31, 2023. The write-off resulted primarily from a decision made in the current period to discontinue a product line in the Company’s product roadmap. The raw materials have no alternative use and have been fully written off for the three months ended March 31, 2023. There were no other inventory write-offs recorded for the three months ended March 31, 2022.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Current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 of the following (in thousands): </w:t>
      </w:r>
    </w:p>
    <w:tbl>
      <w:tblPr>
        <w:tblW w:w="7090" w:type="dxa"/>
        <w:jc w:val="left"/>
        <w:tblInd w:w="0" w:type="dxa"/>
        <w:tblLayout w:type="fixed"/>
        <w:tblCellMar>
          <w:top w:w="28" w:type="dxa"/>
          <w:left w:w="28" w:type="dxa"/>
          <w:bottom w:w="28" w:type="dxa"/>
          <w:right w:w="28" w:type="dxa"/>
        </w:tblCellMar>
      </w:tblPr>
      <w:tblGrid>
        <w:gridCol w:w="1423"/>
        <w:gridCol w:w="1248"/>
        <w:gridCol w:w="1258"/>
        <w:gridCol w:w="258"/>
        <w:gridCol w:w="883"/>
        <w:gridCol w:w="133"/>
        <w:gridCol w:w="109"/>
        <w:gridCol w:w="109"/>
        <w:gridCol w:w="109"/>
        <w:gridCol w:w="335"/>
        <w:gridCol w:w="980"/>
        <w:gridCol w:w="245"/>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primarily consist of certain cloud platform and customer service program costs. Other receivables primarily consist of refunds owed to the Company and other amounts which the Company is expected to receive in future months.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consists of the following (in thousands): </w:t>
      </w:r>
    </w:p>
    <w:tbl>
      <w:tblPr>
        <w:tblW w:w="6325" w:type="dxa"/>
        <w:jc w:val="left"/>
        <w:tblInd w:w="0" w:type="dxa"/>
        <w:tblLayout w:type="fixed"/>
        <w:tblCellMar>
          <w:top w:w="28" w:type="dxa"/>
          <w:left w:w="28" w:type="dxa"/>
          <w:bottom w:w="28" w:type="dxa"/>
          <w:right w:w="28" w:type="dxa"/>
        </w:tblCellMar>
      </w:tblPr>
      <w:tblGrid>
        <w:gridCol w:w="1146"/>
        <w:gridCol w:w="1005"/>
        <w:gridCol w:w="1013"/>
        <w:gridCol w:w="342"/>
        <w:gridCol w:w="756"/>
        <w:gridCol w:w="176"/>
        <w:gridCol w:w="109"/>
        <w:gridCol w:w="109"/>
        <w:gridCol w:w="109"/>
        <w:gridCol w:w="396"/>
        <w:gridCol w:w="874"/>
        <w:gridCol w:w="290"/>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manufacturing equipment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$37 thousand and $0.1 million for the three months ended March 31, 2023 and 2022,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impairment of property and equipment or long-lived assets recognized during the three months ended March 31, 2023 or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Assets, noncurrent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assets, noncurrent consist of the following (in thousands): </w:t>
      </w:r>
    </w:p>
    <w:tbl>
      <w:tblPr>
        <w:tblW w:w="7451" w:type="dxa"/>
        <w:jc w:val="left"/>
        <w:tblInd w:w="0" w:type="dxa"/>
        <w:tblLayout w:type="fixed"/>
        <w:tblCellMar>
          <w:top w:w="28" w:type="dxa"/>
          <w:left w:w="28" w:type="dxa"/>
          <w:bottom w:w="28" w:type="dxa"/>
          <w:right w:w="28" w:type="dxa"/>
        </w:tblCellMar>
      </w:tblPr>
      <w:tblGrid>
        <w:gridCol w:w="1554"/>
        <w:gridCol w:w="1362"/>
        <w:gridCol w:w="1374"/>
        <w:gridCol w:w="287"/>
        <w:gridCol w:w="839"/>
        <w:gridCol w:w="148"/>
        <w:gridCol w:w="109"/>
        <w:gridCol w:w="109"/>
        <w:gridCol w:w="109"/>
        <w:gridCol w:w="335"/>
        <w:gridCol w:w="980"/>
        <w:gridCol w:w="245"/>
      </w:tblGrid>
      <w:tr>
        <w:trPr/>
        <w:tc>
          <w:tcPr>
            <w:tcW w:w="15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affiliate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assets, noncurrent</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primarily consist of cloud platform costs. Investment in affiliate relates to warrants to purchase shares of common stock of a current Data Revenue Partner.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Leases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under various non-cancelable operating leases with remaining lease terms of up to 1 year, some of which include the option to extend the lease.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finance leases as of March 31, 2023 or December 31, 2022. </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 (in thousands):</w:t>
      </w:r>
    </w:p>
    <w:tbl>
      <w:tblPr>
        <w:tblW w:w="4468" w:type="dxa"/>
        <w:jc w:val="left"/>
        <w:tblInd w:w="0" w:type="dxa"/>
        <w:tblLayout w:type="fixed"/>
        <w:tblCellMar>
          <w:top w:w="28" w:type="dxa"/>
          <w:left w:w="28" w:type="dxa"/>
          <w:bottom w:w="28" w:type="dxa"/>
          <w:right w:w="28" w:type="dxa"/>
        </w:tblCellMar>
      </w:tblPr>
      <w:tblGrid>
        <w:gridCol w:w="733"/>
        <w:gridCol w:w="644"/>
        <w:gridCol w:w="648"/>
        <w:gridCol w:w="265"/>
        <w:gridCol w:w="586"/>
        <w:gridCol w:w="137"/>
        <w:gridCol w:w="137"/>
        <w:gridCol w:w="137"/>
        <w:gridCol w:w="137"/>
        <w:gridCol w:w="265"/>
        <w:gridCol w:w="586"/>
        <w:gridCol w:w="193"/>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r>
              <w:rPr>
                <w:color w:val="000000"/>
              </w:rPr>
              <w:t xml:space="preserve">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 xml:space="preserve">Amounts include short-term leases, which are immaterial. </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 except lease term):</w:t>
      </w:r>
    </w:p>
    <w:tbl>
      <w:tblPr>
        <w:tblW w:w="10205" w:type="dxa"/>
        <w:jc w:val="left"/>
        <w:tblInd w:w="0" w:type="dxa"/>
        <w:tblLayout w:type="fixed"/>
        <w:tblCellMar>
          <w:top w:w="28" w:type="dxa"/>
          <w:left w:w="28" w:type="dxa"/>
          <w:bottom w:w="28" w:type="dxa"/>
          <w:right w:w="28" w:type="dxa"/>
        </w:tblCellMar>
      </w:tblPr>
      <w:tblGrid>
        <w:gridCol w:w="2605"/>
        <w:gridCol w:w="2253"/>
        <w:gridCol w:w="2267"/>
        <w:gridCol w:w="332"/>
        <w:gridCol w:w="735"/>
        <w:gridCol w:w="171"/>
        <w:gridCol w:w="109"/>
        <w:gridCol w:w="109"/>
        <w:gridCol w:w="109"/>
        <w:gridCol w:w="383"/>
        <w:gridCol w:w="846"/>
        <w:gridCol w:w="286"/>
      </w:tblGrid>
      <w:tr>
        <w:trPr/>
        <w:tc>
          <w:tcPr>
            <w:tcW w:w="260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(included in 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for operating lease (in years)</w:t>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discount rate used to measure the present value of the operating lease liabilities was 5.0%.</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the Company’s operating lease liabilities, which do not include short-term leases, as of March 31, 2023 were as follows (in thousands): </w:t>
      </w:r>
    </w:p>
    <w:tbl>
      <w:tblPr>
        <w:tblW w:w="3886" w:type="dxa"/>
        <w:jc w:val="left"/>
        <w:tblInd w:w="0" w:type="dxa"/>
        <w:tblLayout w:type="fixed"/>
        <w:tblCellMar>
          <w:top w:w="28" w:type="dxa"/>
          <w:left w:w="28" w:type="dxa"/>
          <w:bottom w:w="28" w:type="dxa"/>
          <w:right w:w="28" w:type="dxa"/>
        </w:tblCellMar>
      </w:tblPr>
      <w:tblGrid>
        <w:gridCol w:w="918"/>
        <w:gridCol w:w="805"/>
        <w:gridCol w:w="812"/>
        <w:gridCol w:w="343"/>
        <w:gridCol w:w="757"/>
        <w:gridCol w:w="251"/>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operating leases included in cash from operating activities were $0.3 million and $0.6 million for the three months ended March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Goodwill and Intangible Assets,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consists of the following (in thousands): </w:t>
      </w:r>
    </w:p>
    <w:tbl>
      <w:tblPr>
        <w:tblW w:w="6846"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391"/>
        <w:gridCol w:w="1477"/>
        <w:gridCol w:w="202"/>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45"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457"/>
        <w:gridCol w:w="1373"/>
        <w:gridCol w:w="239"/>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capitalized $0.3 million and $0.2 million in internal use software during the three months ended March 31, 2023 and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$2.2 million and $2.1 million for the three months ended March 31, 2023 and 2022,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impairment of intangible assets recorded during the three months ended March 31, 2023 or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estimated remaining amortization expense for intangible assets by fiscal year is as follows (in thousands): </w:t>
      </w:r>
    </w:p>
    <w:tbl>
      <w:tblPr>
        <w:tblW w:w="3950" w:type="dxa"/>
        <w:jc w:val="left"/>
        <w:tblInd w:w="0" w:type="dxa"/>
        <w:tblLayout w:type="fixed"/>
        <w:tblCellMar>
          <w:top w:w="28" w:type="dxa"/>
          <w:left w:w="28" w:type="dxa"/>
          <w:bottom w:w="28" w:type="dxa"/>
          <w:right w:w="28" w:type="dxa"/>
        </w:tblCellMar>
      </w:tblPr>
      <w:tblGrid>
        <w:gridCol w:w="1037"/>
        <w:gridCol w:w="910"/>
        <w:gridCol w:w="917"/>
        <w:gridCol w:w="211"/>
        <w:gridCol w:w="72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useful lives of the Company’s acquired intangible assets are as follows:</w:t>
      </w:r>
    </w:p>
    <w:tbl>
      <w:tblPr>
        <w:tblW w:w="5837" w:type="dxa"/>
        <w:jc w:val="left"/>
        <w:tblInd w:w="0" w:type="dxa"/>
        <w:tblLayout w:type="fixed"/>
        <w:tblCellMar>
          <w:top w:w="28" w:type="dxa"/>
          <w:left w:w="28" w:type="dxa"/>
          <w:bottom w:w="28" w:type="dxa"/>
          <w:right w:w="28" w:type="dxa"/>
        </w:tblCellMar>
      </w:tblPr>
      <w:tblGrid>
        <w:gridCol w:w="719"/>
        <w:gridCol w:w="632"/>
        <w:gridCol w:w="644"/>
        <w:gridCol w:w="425"/>
        <w:gridCol w:w="425"/>
        <w:gridCol w:w="425"/>
        <w:gridCol w:w="336"/>
        <w:gridCol w:w="336"/>
        <w:gridCol w:w="336"/>
        <w:gridCol w:w="456"/>
        <w:gridCol w:w="456"/>
        <w:gridCol w:w="647"/>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goodwill was $133.7 million. No goodwill impairments were recorded during the three months ended March 31, 2023 or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Expenses and Other Current Liabilities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and other liabilities consist of the following (in thousands): </w:t>
      </w:r>
    </w:p>
    <w:tbl>
      <w:tblPr>
        <w:tblW w:w="7421" w:type="dxa"/>
        <w:jc w:val="left"/>
        <w:tblInd w:w="0" w:type="dxa"/>
        <w:tblLayout w:type="fixed"/>
        <w:tblCellMar>
          <w:top w:w="28" w:type="dxa"/>
          <w:left w:w="28" w:type="dxa"/>
          <w:bottom w:w="28" w:type="dxa"/>
          <w:right w:w="28" w:type="dxa"/>
        </w:tblCellMar>
      </w:tblPr>
      <w:tblGrid>
        <w:gridCol w:w="1543"/>
        <w:gridCol w:w="1353"/>
        <w:gridCol w:w="1364"/>
        <w:gridCol w:w="258"/>
        <w:gridCol w:w="883"/>
        <w:gridCol w:w="133"/>
        <w:gridCol w:w="109"/>
        <w:gridCol w:w="109"/>
        <w:gridCol w:w="109"/>
        <w:gridCol w:w="303"/>
        <w:gridCol w:w="1036"/>
        <w:gridCol w:w="221"/>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related promotions and discounts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reserves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primarily relate to warranty liabilities related to the Company’s hardware tracking devices and inventory received not yet billed.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Escrow Liability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escrow liability as of March 31, 2023 relates to restricted cash associated with the acquisition of Tile (the “Tile Acquisition”), which was placed in an indemnity escrow fund to be held for fifteen months after the acquisition date for general representations and warranties. The initial balances were included within total consideration transferred.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escrow liability as of December 31, 2022 relates to restricted cash associated with the Tile Acquisition, $13.1 million, and the acquisition of Jiobit (the “Jiobit Acquisition”), $0.2 million, placed in an indemnity escrow fund to be held for fifteen months and eighteen months, respectively, after the acquisition date for general representations and warranties. The initial balances were included within total consideration transferred.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Convertible Notes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July 2021 Convertible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unamortized amount and net carrying value of the July 2021 Convertible Notes is $1.4 million and $0.7 million, respectively. The amount by which July 2021 Convertible Notes if-converted value does not exceed its principal is $0.4 million as of March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unamortized amount and net carrying value of the July 2021 Convertible Notes is $1.5 million and $0.6 million, respectively. The amount by which July 2021 Convertible Notes if-converted value does not exceed its principal is $0.4 million as of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Tranche 2), and 44,106 shares of the Company’s common stock which is exercisable starting twelve months from the issuance date with an exercise price of $11.96 per share and a term of 5 years (Warrant Tranche 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warrants was determined using the Black-Scholes option-pricing method, with the following assumptions: </w:t>
      </w:r>
    </w:p>
    <w:tbl>
      <w:tblPr>
        <w:tblW w:w="6962" w:type="dxa"/>
        <w:jc w:val="left"/>
        <w:tblInd w:w="0" w:type="dxa"/>
        <w:tblLayout w:type="fixed"/>
        <w:tblCellMar>
          <w:top w:w="28" w:type="dxa"/>
          <w:left w:w="28" w:type="dxa"/>
          <w:bottom w:w="28" w:type="dxa"/>
          <w:right w:w="28" w:type="dxa"/>
        </w:tblCellMar>
      </w:tblPr>
      <w:tblGrid>
        <w:gridCol w:w="1075"/>
        <w:gridCol w:w="945"/>
        <w:gridCol w:w="949"/>
        <w:gridCol w:w="211"/>
        <w:gridCol w:w="616"/>
        <w:gridCol w:w="271"/>
        <w:gridCol w:w="109"/>
        <w:gridCol w:w="109"/>
        <w:gridCol w:w="109"/>
        <w:gridCol w:w="211"/>
        <w:gridCol w:w="616"/>
        <w:gridCol w:w="271"/>
        <w:gridCol w:w="109"/>
        <w:gridCol w:w="109"/>
        <w:gridCol w:w="109"/>
        <w:gridCol w:w="211"/>
        <w:gridCol w:w="616"/>
        <w:gridCol w:w="316"/>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b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br/>
              <w:t>Tranche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br/>
              <w:t>Tranche 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market value of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were recorded to additional paid-in capital during the year ended December 31, 2021. The fair value of the warrants issued in connection with the July 2021 Convertible Notes was $0.8 million and was recorded as a debt discount that is being amortized to interest expense under the straight-line method over the term of respective convertible notes.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recognized a total of $0.1 million and $0.1 million, respectively, in non-cash interest expense related to the July 2021 Convertible Notes.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September 2021 Convertible Notes</w:t>
      </w:r>
    </w:p>
    <w:p>
      <w:pPr>
        <w:pStyle w:val="TextBody"/>
        <w:bidi w:val="0"/>
        <w:spacing w:lineRule="auto" w:line="288" w:before="120" w:after="283"/>
        <w:jc w:val="both"/>
        <w:rPr/>
      </w:pPr>
      <w:r>
        <w:rPr>
          <w:rFonts w:ascii="Times New Roman;sans-serif" w:hAnsi="Times New Roman;sans-serif"/>
          <w:b w:val="false"/>
          <w:color w:val="000000"/>
          <w:sz w:val="20"/>
        </w:rPr>
        <w:t>In September 2021, the Company, in connection with the Jiobit Acquisition, issued $11.6 million representing the fair value of convertible notes (the “September 2021 Convertible Notes”) and $1.6 million of revesting convertible notes (“Revesting Notes”) that vest over time.</w:t>
      </w:r>
      <w:r>
        <w:rPr>
          <w:color w:val="000000"/>
        </w:rPr>
        <w:t xml:space="preserve"> </w:t>
      </w:r>
      <w:r>
        <w:rPr>
          <w:rFonts w:ascii="Times New Roman;sans-serif" w:hAnsi="Times New Roman;sans-serif"/>
          <w:b w:val="false"/>
          <w:color w:val="000000"/>
          <w:sz w:val="20"/>
        </w:rPr>
        <w:t xml:space="preserve">The September 2021 Convertible Notes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881" w:type="dxa"/>
        <w:jc w:val="left"/>
        <w:tblInd w:w="0" w:type="dxa"/>
        <w:tblLayout w:type="fixed"/>
        <w:tblCellMar>
          <w:top w:w="28" w:type="dxa"/>
          <w:left w:w="28" w:type="dxa"/>
          <w:bottom w:w="28" w:type="dxa"/>
          <w:right w:w="28" w:type="dxa"/>
        </w:tblCellMar>
      </w:tblPr>
      <w:tblGrid>
        <w:gridCol w:w="1060"/>
        <w:gridCol w:w="928"/>
        <w:gridCol w:w="936"/>
        <w:gridCol w:w="245"/>
        <w:gridCol w:w="715"/>
        <w:gridCol w:w="314"/>
        <w:gridCol w:w="109"/>
        <w:gridCol w:w="109"/>
        <w:gridCol w:w="109"/>
        <w:gridCol w:w="291"/>
        <w:gridCol w:w="850"/>
        <w:gridCol w:w="374"/>
        <w:gridCol w:w="109"/>
        <w:gridCol w:w="109"/>
        <w:gridCol w:w="109"/>
        <w:gridCol w:w="256"/>
        <w:gridCol w:w="875"/>
        <w:gridCol w:w="383"/>
      </w:tblGrid>
      <w:tr>
        <w:trPr/>
        <w:tc>
          <w:tcPr>
            <w:tcW w:w="10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1,</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fair value per share</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price per share</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exercise (in years)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dividend yield</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Revesting Notes are restricted and vest with continuous employment of certain key employees over a 3-year period subsequent to the acquisition. The Revesting Notes are recognized in general and administrative expense. In April 2022, one of the key employees exited the Company, and so the entirety of their Revesting Notes were forfeited. The Company recorded $0.3 million credit to compensation expense included in general and administrative expense related to the forfeiture of their Revesting Notes. In January 2023, the other key employee exited the Company. As part of their separation agreement, their Revesting Notes are due in their entirety at the maturity date and the Company recorded $0.1 million of compensation expense included in general and administrative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the Revesting Notes at fair value and will remeasure the Revesting Notes at fair value on each reporting date.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$0.1 million and $0.3 million to compensation expense included in general and administrative expense related to the changes in fair value of the Revesting Notes during the three months ended March 31, 2023 and 2022,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notes, current and noncurrent consist of the following (in thousands): </w:t>
      </w:r>
    </w:p>
    <w:p>
      <w:pPr>
        <w:pStyle w:val="TextBody"/>
        <w:bidi w:val="0"/>
        <w:spacing w:before="0" w:after="0"/>
        <w:jc w:val="left"/>
        <w:rPr/>
      </w:pPr>
      <w:r>
        <w:rPr/>
      </w:r>
    </w:p>
    <w:tbl>
      <w:tblPr>
        <w:tblW w:w="6130" w:type="dxa"/>
        <w:jc w:val="left"/>
        <w:tblInd w:w="0" w:type="dxa"/>
        <w:tblLayout w:type="fixed"/>
        <w:tblCellMar>
          <w:top w:w="28" w:type="dxa"/>
          <w:left w:w="28" w:type="dxa"/>
          <w:bottom w:w="28" w:type="dxa"/>
          <w:right w:w="28" w:type="dxa"/>
        </w:tblCellMar>
      </w:tblPr>
      <w:tblGrid>
        <w:gridCol w:w="1076"/>
        <w:gridCol w:w="944"/>
        <w:gridCol w:w="949"/>
        <w:gridCol w:w="287"/>
        <w:gridCol w:w="839"/>
        <w:gridCol w:w="148"/>
        <w:gridCol w:w="109"/>
        <w:gridCol w:w="109"/>
        <w:gridCol w:w="109"/>
        <w:gridCol w:w="335"/>
        <w:gridCol w:w="980"/>
        <w:gridCol w:w="245"/>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current:</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Revesting Notes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noncurrent:</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Convertible Notes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Revesting Notes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notes</w:t>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future principal payments for all convertible notes as of March 31, 2023 were as follows (in thousands): </w:t>
      </w:r>
    </w:p>
    <w:tbl>
      <w:tblPr>
        <w:tblW w:w="3335" w:type="dxa"/>
        <w:jc w:val="left"/>
        <w:tblInd w:w="0" w:type="dxa"/>
        <w:tblLayout w:type="fixed"/>
        <w:tblCellMar>
          <w:top w:w="28" w:type="dxa"/>
          <w:left w:w="28" w:type="dxa"/>
          <w:bottom w:w="28" w:type="dxa"/>
          <w:right w:w="28" w:type="dxa"/>
        </w:tblCellMar>
      </w:tblPr>
      <w:tblGrid>
        <w:gridCol w:w="852"/>
        <w:gridCol w:w="748"/>
        <w:gridCol w:w="754"/>
        <w:gridCol w:w="211"/>
        <w:gridCol w:w="61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outstanding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notes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10.    Derivative Liability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liability represents embedded share-settled redemption features bifurcated from its July 2021 Convertible Notes and is carried at fair value. The changes in the fair value of the derivative liability are recorded in other income (expense), net of the Company’s condensed consolidated statements of operations and comprehensive loss.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issuance of the convertible notes, the Company recorded a derivative liability of $0.7 million at fair value using inputs classified as Level 3 in the fair value hierarchy. As of March 31, 2023 and December 31, 2022, the fair value of the derivative liability was $0.1 million and $0.1 million, respectively. Refer to Note 6 “Fair Value Measurements”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11.    Commitments and Contingencies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commitments from outstanding purchase orders primarily related to technology support, facilities, marketing and branding and professional services. These agreements, which total $172.0 million for the three months ended March 31, 2023 and $138.9 million for the year ended December 31, 2022, are cancellable at any time with the Company required to pay all costs incurred through the cancellation date.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Warranties and Indemnification </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Company has not incurred significant costs and has not accrued any material liabilities in the accompanying condensed consolidated financial statements as a result of its warranty and indemnification obligations.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reasonable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On March 12, 2019, a former alleged competitor of Tile, Cellwitch, Inc, filed a patent infringement claim against the Company in the U.S. District Court, Northern District of California (“Court”), seeking permanent injunction and damages. On December 18, 2019, Tile filed an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petition with the Patent Trial and Appeal Board (“PTAB”) challenging the validity of the patent. On May 13, 2021, the PTAB issued a Final Written Decision on Tile’s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petition (the “Final Written Decision”), finding a majority of the claims invalid. The Final Written Decision was affirmed by the U.S. Court of Appeals for the Federal Circuit on May 13, 2022. The case is currently in trial court, the parties are conducting initial discovery efforts and, upon request from the Court, have agreed to participate in a settlement conference.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purported class action (E.S. v. Life360, Inc.) alleging a single cause of action for unjust enrichment was filed against Life360 on January 12, 2023, seeking equitable relief purportedly arising out of Life360’s historic data sales. Given the inherently uncertain nature of litigation, the ultimate disposition of the case is not presently determinable, but the Company intends to defend against the claim. We cannot predict at this point the length of time that this action will be ongoing or estimate the liability, if any, which may arise therefrom.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information currently available and the current state of the litigation, we are unable to reasonably estimate a possible loss or range of possible losses, if any, with regards to outstanding litigation. As a result, no litigation reserve has been recorded on our condensed consolidated balance sheets as of March 31, 2023 or December 31, 2022. We will continue to evaluate information as it becomes known and will record an estimate for losses at the time or times if and when it is probable a loss will be incurred and the amount of the loss is reasonably estimable.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12.    Common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was authorized to issue up to 100,000,000 shares of par value $0.001 per share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issued shares of common stock as a result of stock option exercises throughout its existence. Common stockholders are entitled to dividends when and if declared by the Board of Directors subject to the prior rights of the preferred stockholders. The holder of each share of common stock is entitled to one vote. The common stockholders voting as a class are entitled to elect three members to the Company’s Board of Directors. No dividends have been declared in the Company’s existence.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following potentially outstanding common stock reserved for issuance:</w:t>
      </w:r>
    </w:p>
    <w:tbl>
      <w:tblPr>
        <w:tblW w:w="9231" w:type="dxa"/>
        <w:jc w:val="left"/>
        <w:tblInd w:w="0" w:type="dxa"/>
        <w:tblLayout w:type="fixed"/>
        <w:tblCellMar>
          <w:top w:w="28" w:type="dxa"/>
          <w:left w:w="28" w:type="dxa"/>
          <w:bottom w:w="28" w:type="dxa"/>
          <w:right w:w="28" w:type="dxa"/>
        </w:tblCellMar>
      </w:tblPr>
      <w:tblGrid>
        <w:gridCol w:w="2054"/>
        <w:gridCol w:w="1804"/>
        <w:gridCol w:w="1812"/>
        <w:gridCol w:w="540"/>
        <w:gridCol w:w="541"/>
        <w:gridCol w:w="426"/>
        <w:gridCol w:w="109"/>
        <w:gridCol w:w="109"/>
        <w:gridCol w:w="109"/>
        <w:gridCol w:w="540"/>
        <w:gridCol w:w="541"/>
        <w:gridCol w:w="646"/>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7,708,686 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8,180,840 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5,109,200 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6,779,892 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516,758 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shares available to be granted but not granted yet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4,745,197 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396,347 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18,217,499 </w:t>
            </w:r>
          </w:p>
        </w:tc>
        <w:tc>
          <w:tcPr>
            <w:tcW w:w="4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16,011,495 </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13.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had outstanding warrants to purchase 137,658 and 137,658 shares of Company common stock, respectively with exercise prices ranging from $0.01 to $11.96 and expiry dates ranging from 2022 to 2028. Refer to Note 9 “Convertible Notes”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14.    Equity Incentive Plan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2011 Equity Incentive Plan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equity incentive plan allows the Company to grant restricted stock units, restricted stock and stock options to employees and consultants of the Company and any of the Company’s parent, subsidiaries, or affiliates, and to the members of the Board of Directors.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of stock option activity for the periods presented is as follows (in thousands, except share and per share data): </w:t>
      </w:r>
    </w:p>
    <w:tbl>
      <w:tblPr>
        <w:tblW w:w="9084" w:type="dxa"/>
        <w:jc w:val="left"/>
        <w:tblInd w:w="0" w:type="dxa"/>
        <w:tblLayout w:type="fixed"/>
        <w:tblCellMar>
          <w:top w:w="28" w:type="dxa"/>
          <w:left w:w="28" w:type="dxa"/>
          <w:bottom w:w="28" w:type="dxa"/>
          <w:right w:w="28" w:type="dxa"/>
        </w:tblCellMar>
      </w:tblPr>
      <w:tblGrid>
        <w:gridCol w:w="1021"/>
        <w:gridCol w:w="896"/>
        <w:gridCol w:w="902"/>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36"/>
        <w:gridCol w:w="807"/>
        <w:gridCol w:w="173"/>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8,180,840 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(185,073)</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cancelled/forfeited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(287,081)</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7,708,686 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30,916 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2023</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5,760,273 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total unrecognized compensation cost for outstanding stock options of $8.4 million to be recognized over a period of approximately 2.6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of Restricted Stock Units (RSU) activity for the periods presented is as follows: </w:t>
      </w:r>
    </w:p>
    <w:tbl>
      <w:tblPr>
        <w:tblW w:w="5883" w:type="dxa"/>
        <w:jc w:val="left"/>
        <w:tblInd w:w="0" w:type="dxa"/>
        <w:tblLayout w:type="fixed"/>
        <w:tblCellMar>
          <w:top w:w="28" w:type="dxa"/>
          <w:left w:w="28" w:type="dxa"/>
          <w:bottom w:w="28" w:type="dxa"/>
          <w:right w:w="28" w:type="dxa"/>
        </w:tblCellMar>
      </w:tblPr>
      <w:tblGrid>
        <w:gridCol w:w="1021"/>
        <w:gridCol w:w="896"/>
        <w:gridCol w:w="902"/>
        <w:gridCol w:w="524"/>
        <w:gridCol w:w="526"/>
        <w:gridCol w:w="471"/>
        <w:gridCol w:w="109"/>
        <w:gridCol w:w="109"/>
        <w:gridCol w:w="109"/>
        <w:gridCol w:w="261"/>
        <w:gridCol w:w="763"/>
        <w:gridCol w:w="19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6,779,892 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569,389 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vested and settled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(1,440,125)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cancelled/forfeited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(799,956)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5,109,200 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unrecognized compensation cost for outstanding restricted stock units of $47.0 million to be recognized over a period of approximately 2.3 years.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RSUs vested and settled includes shares of common stock that the Company withheld on behalf of employees to satisfy the minimum statutory tax withholding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allocated as follows (in thousands): </w:t>
      </w:r>
    </w:p>
    <w:tbl>
      <w:tblPr>
        <w:tblW w:w="5888" w:type="dxa"/>
        <w:jc w:val="left"/>
        <w:tblInd w:w="0" w:type="dxa"/>
        <w:tblLayout w:type="fixed"/>
        <w:tblCellMar>
          <w:top w:w="28" w:type="dxa"/>
          <w:left w:w="28" w:type="dxa"/>
          <w:bottom w:w="28" w:type="dxa"/>
          <w:right w:w="28" w:type="dxa"/>
        </w:tblCellMar>
      </w:tblPr>
      <w:tblGrid>
        <w:gridCol w:w="1248"/>
        <w:gridCol w:w="1099"/>
        <w:gridCol w:w="1102"/>
        <w:gridCol w:w="229"/>
        <w:gridCol w:w="671"/>
        <w:gridCol w:w="118"/>
        <w:gridCol w:w="118"/>
        <w:gridCol w:w="118"/>
        <w:gridCol w:w="118"/>
        <w:gridCol w:w="229"/>
        <w:gridCol w:w="671"/>
        <w:gridCol w:w="167"/>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421"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capitalized stock-based compensation costs or recognized stock-based compensation tax benefits during the three months ended March 31, 2023 and 2022, respectively.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Equity Awards Issued in Connection with Business Combinations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Jio,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Jiobit Acquisition in September 2021, the Company issued 91,217 shares of restricted common stock with an aggregate fair value of $1.9 million to be recognized as post combination stock-based compensation ratably with continuous employment of certain employees over a 3 year period.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a key employee of the Jiobit Acquisition terminated employment with the Company. As part of such employee’s separation agreement, the Company recorded $0.2 million to compensation included in general and administrative expense related to their Revesting Stock. As of March 31, 2023 and December 31, 2022, there was zero and $0.2 million of unrecognized compensation expense, respectively, related to this restricted common stock which is expected to be recognized over the remaining weighted average life of zero years and 1.7 years,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granted 43,083 service-based stock options under the Plan to certain Jiobit employees with an aggregate fair value of $0.5 million which vests ratably over the requisite service period. As of March 31, 2023, there was $0.1 million of unrecognized compensation expense related to unvested assumed stock options, which is expected to be recognized over the remaining weighted average life of 1.6 years. As of December 31, 2022, there was $0.2 million of unrecognized compensation expense related to unvested assumed stock options, which is expected to be recognized over the remaining weighted average life of 1.8 years.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Tile,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Tile Acquisition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March 31, 2023, there was $3.6 million of unrecognized compensation expense related to the retention restricted stock units which is expected to be recognized over the remaining weighted average life of 1.4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issued 38,730 vested common stock options to Tile employees as stock-based compensation on the acquisition date. The aggregate fair value of $0.4 million was recognized as compensation expense on the date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694,672 shares of common stock with an aggregate fair value of $13.7 million were issued to Tile shareholders as part of purchase consideration. All $13.7 million was included within purchase consideration.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1,561 shares of common stock with an aggregate fair value of $31 thousand were issued to a key employee, the vesting of which is subject to continued employment over a 30-month period. As of March 31, 2023, there was $14 thousand of unrecognized compensation expense related to unvested restricted stock units which is expected to be recognized over the remaining 1.3 years.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84,524 shares of common stock were issued as part of consideration transferred and were placed in an indemnity escrow fund to be held for fifteen months after the acquisition date for general representations and warranties. The aggregate fair value of $1.7 million was included within purchase consideration. Refer to Note 19 “Subsequent Events”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15.    Income Taxes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for interim periods is determined using an estimated annual effective tax rate in accordance with Accounting Standards Codification (“ASC”) 740-270, Income Taxes, Interim Reporting. The effective tax rate may be subject to fluctuations during the year as new information is obtained, which may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provision for incomes taxes of $0.1 million and $0.1 million for the three months ended March 31, 2023 and 2022,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Tax Cuts and Jobs Act of 2017, research and experimental (R&amp;E) expenses under Internal Revenue Code Section 174 are required to be capitalized beginning in 2022. R&amp;E expenses are required to be amortized over a period of five years for domestic expenses and fifteen years for foreign expenses. The Company has capitalized R&amp;E expenditures in its income tax provision as a result. Accordingly, in the three months ended March 31, 2023, the Company recorded a $0.1 million state income tax expense primarily due to state conformity to Internal Revenue Code Section 174.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805, a change in the acquirer’s valuation allowance that stems from a business combination should be recognized as an element of the acquirer’s income tax expense or benefit in the period of acquisition. Accordingly, in the three months ended March 31, 2022, the Company recorded a provisional $0.1 million partial release of its valuation allowance and a corresponding income tax benefit stemming from the Tile Acquisition, respectively. The benefit was offset by the state income taxes for the three months ended March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    Related-Party Transactions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secondary financing transactions and other transactions with certain executive officers and Board members of the Company. A summary of the transactions is detailed below: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Notes Due From Affiliates (Contra Equity)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Company issued an aggregate of $0.6 million in secured partial recourse promissory notes (“partially secured loan”) to the Chief Executive Officer, Non-Executive Director (Previously President), Chief Operating Officer and another executive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the 2016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All promissory notes issued to the Chief Executive Officer and Chief Operating Officer were repaid as of June 2022. During the three months ended March 31, 2023, the Company received proceeds from the repayment of the partially secured loans that remained outstanding of $0.3 million. As of March 31, 2023 and December 31, 2022, the Company had deposit liability balances of zero and $0.3 million, respectively, in connection with the 2016 partially secured loan and other early exercises of equity awards. Principal amounts due under the 2016 partially secured loan are included in Notes Due From Affiliates as a reduction in stockholders’ equity on the consolidated balance sheets.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Related Party Transactions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Non-executive director, James Synge, is a Principal and Partner of Carthona Capital. During the year ended December 31, 2021, the Company entered into a consultancy agreement with Carthona Capital. Under this agreement, Carthona Capital agreed to provide consultancy services to the Company in relation to capital raising matters. During the three months ended March 31, 2022, Carthona Capital received consideration of $0.1 million. No payments were made to Carthona Capital during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Annika Hulls is the spouse of the CEO and Executive Director, Chris Hulls. During the three months ended March 31, 2022, $7 thousand was paid to Annika Hulls for services relating to a marketing campaign. No payments were made to Annika Hulls during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17.    Defined Contribution Plan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    Net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net loss by the weighted-average number of common shares outstanding for the fiscal period. Diluted net loss per share is computed by giving effect to potential convertible securities. The dilutive effect of the outstanding September 2021 Convertible Notes and July 2021 Convertible Notes are reflected in diluted net loss per share by application of the if-converted method.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calculation of basic and diluted net loss per share (in thousands, except share and per share data): </w:t>
      </w:r>
    </w:p>
    <w:tbl>
      <w:tblPr>
        <w:tblW w:w="8391" w:type="dxa"/>
        <w:jc w:val="left"/>
        <w:tblInd w:w="0" w:type="dxa"/>
        <w:tblLayout w:type="fixed"/>
        <w:tblCellMar>
          <w:top w:w="28" w:type="dxa"/>
          <w:left w:w="28" w:type="dxa"/>
          <w:bottom w:w="28" w:type="dxa"/>
          <w:right w:w="28" w:type="dxa"/>
        </w:tblCellMar>
      </w:tblPr>
      <w:tblGrid>
        <w:gridCol w:w="2040"/>
        <w:gridCol w:w="1791"/>
        <w:gridCol w:w="1808"/>
        <w:gridCol w:w="240"/>
        <w:gridCol w:w="841"/>
        <w:gridCol w:w="109"/>
        <w:gridCol w:w="109"/>
        <w:gridCol w:w="109"/>
        <w:gridCol w:w="109"/>
        <w:gridCol w:w="240"/>
        <w:gridCol w:w="841"/>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2" w:type="dxa"/>
            <w:gridSpan w:val="6"/>
            <w:tcBorders/>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61,192,576 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92" w:type="dxa"/>
        <w:jc w:val="left"/>
        <w:tblInd w:w="0" w:type="dxa"/>
        <w:tblLayout w:type="fixed"/>
        <w:tblCellMar>
          <w:top w:w="28" w:type="dxa"/>
          <w:left w:w="28" w:type="dxa"/>
          <w:bottom w:w="28" w:type="dxa"/>
          <w:right w:w="28" w:type="dxa"/>
        </w:tblCellMar>
      </w:tblPr>
      <w:tblGrid>
        <w:gridCol w:w="2366"/>
        <w:gridCol w:w="2081"/>
        <w:gridCol w:w="2093"/>
        <w:gridCol w:w="240"/>
        <w:gridCol w:w="841"/>
        <w:gridCol w:w="109"/>
        <w:gridCol w:w="109"/>
        <w:gridCol w:w="109"/>
        <w:gridCol w:w="109"/>
        <w:gridCol w:w="240"/>
        <w:gridCol w:w="841"/>
        <w:gridCol w:w="154"/>
      </w:tblGrid>
      <w:tr>
        <w:trPr/>
        <w:tc>
          <w:tcPr>
            <w:tcW w:w="2366"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2" w:type="dxa"/>
            <w:gridSpan w:val="6"/>
            <w:tcBorders/>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attributable to September 2021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attributable to July 2021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attributable to July 2021 and September 2021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 for diluted earnings per share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61,192,576 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weighted-average shares used in computing net loss per share,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65,592,780 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61,879,502 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w:t>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potential shares of common stock that were excluded from the computation of diluted net loss per share for the periods presented because including them would have been antidilutive are as follows: </w:t>
      </w:r>
    </w:p>
    <w:tbl>
      <w:tblPr>
        <w:tblW w:w="8621" w:type="dxa"/>
        <w:jc w:val="left"/>
        <w:tblInd w:w="0" w:type="dxa"/>
        <w:tblLayout w:type="fixed"/>
        <w:tblCellMar>
          <w:top w:w="28" w:type="dxa"/>
          <w:left w:w="28" w:type="dxa"/>
          <w:bottom w:w="28" w:type="dxa"/>
          <w:right w:w="28" w:type="dxa"/>
        </w:tblCellMar>
      </w:tblPr>
      <w:tblGrid>
        <w:gridCol w:w="2054"/>
        <w:gridCol w:w="1804"/>
        <w:gridCol w:w="1812"/>
        <w:gridCol w:w="540"/>
        <w:gridCol w:w="541"/>
        <w:gridCol w:w="156"/>
        <w:gridCol w:w="140"/>
        <w:gridCol w:w="140"/>
        <w:gridCol w:w="140"/>
        <w:gridCol w:w="540"/>
        <w:gridCol w:w="541"/>
        <w:gridCol w:w="213"/>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7,708,686 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7,879,793 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5,341,004 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shares available to be granted but not granted yet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2,953,884 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18,217,499 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16,379,790 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the Company released $13.1 million of its restricted cash and 84,524 common shares which were previously held in indemnity escrow as part of the Tile Acquisition for general representations and warranties, fifteen months after the acquisition date.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the section titled “Risk Factors” under Part II, Item 1A in this Quarterly Report on Form 10-Q and Part I, Item 1A in our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users at no charge, with three membership subscription options that are available but not required. 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expanding offerings on our platform; attracting and retaining talent; seasonality; and international expansion. We discuss each of these factors in more detail under the heading “Item 2. Management’s Discussion and Analysis of Financial Condition and Results of Operations—Factors Affecting Our Results of Operations” in our Form 10-K for the year ended December 31, 2022. While we do not have control of all factors affecting our results from operations, we work diligently to influence and manage those factors which we can impact to enhance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Subscription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sales of subscriptions on our platforms.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 </w:t>
      </w:r>
    </w:p>
    <w:p>
      <w:pPr>
        <w:pStyle w:val="TextBody"/>
        <w:bidi w:val="0"/>
        <w:spacing w:lineRule="auto" w:line="288" w:before="360" w:after="283"/>
        <w:jc w:val="both"/>
        <w:rPr/>
      </w:pPr>
      <w:r>
        <w:rPr>
          <w:rFonts w:ascii="Times New Roman;sans-serif" w:hAnsi="Times New Roman;sans-serif"/>
          <w:b w:val="false"/>
          <w:i/>
          <w:color w:val="000000"/>
          <w:sz w:val="20"/>
          <w:u w:val="single"/>
        </w:rPr>
        <w:t>Hardware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a majority of our hardware revenue from the sale of the Tile and Jiobit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we executed a new partnership agreement with a key data partner, a prominent provider of aggregated analytics for the retail ecosystem. The agreement includes fixed monthly revenue amounts for access to aggregated data for the duration of the three-year agreement. Other revenue also includes partnership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Revenue and Gross Margin </w:t>
      </w:r>
    </w:p>
    <w:p>
      <w:pPr>
        <w:pStyle w:val="TextBody"/>
        <w:bidi w:val="0"/>
        <w:spacing w:lineRule="auto" w:line="288" w:before="120" w:after="283"/>
        <w:jc w:val="both"/>
        <w:rPr/>
      </w:pPr>
      <w:r>
        <w:rPr>
          <w:rFonts w:ascii="Times New Roman;sans-serif" w:hAnsi="Times New Roman;sans-serif"/>
          <w:b w:val="false"/>
          <w:i/>
          <w:color w:val="000000"/>
          <w:sz w:val="20"/>
          <w:u w:val="single"/>
        </w:rPr>
        <w:t>Cost of Subscription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increasing the capacity and enhancing the capability and reliability of our infrastructure to support user growth and increased use of our platform. We expect that cost of revenue will increase in absolute dollars in future periods. </w:t>
      </w:r>
    </w:p>
    <w:p>
      <w:pPr>
        <w:pStyle w:val="TextBody"/>
        <w:bidi w:val="0"/>
        <w:spacing w:lineRule="auto" w:line="288" w:before="360" w:after="283"/>
        <w:jc w:val="both"/>
        <w:rPr/>
      </w:pPr>
      <w:r>
        <w:rPr>
          <w:rFonts w:ascii="Times New Roman;sans-serif" w:hAnsi="Times New Roman;sans-serif"/>
          <w:b w:val="false"/>
          <w:i/>
          <w:color w:val="000000"/>
          <w:sz w:val="20"/>
          <w:u w:val="single"/>
        </w:rPr>
        <w:t>Cost of Hardware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 </w:t>
      </w:r>
    </w:p>
    <w:p>
      <w:pPr>
        <w:pStyle w:val="TextBody"/>
        <w:bidi w:val="0"/>
        <w:spacing w:lineRule="auto" w:line="288" w:before="360" w:after="283"/>
        <w:jc w:val="both"/>
        <w:rPr/>
      </w:pPr>
      <w:r>
        <w:rPr>
          <w:rFonts w:ascii="Times New Roman;sans-serif" w:hAnsi="Times New Roman;sans-serif"/>
          <w:b w:val="false"/>
          <w:i/>
          <w:color w:val="000000"/>
          <w:sz w:val="20"/>
          <w:u w:val="single"/>
        </w:rPr>
        <w:t>Cost of Other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other revenue includes cloud-based hosting costs, as well as costs of product operations functions and personnel-related costs associated with our data platform. Personnel-related expenses include salaries, bonuses, benefits, and stock-based compensation for operations personnel. </w:t>
      </w:r>
    </w:p>
    <w:p>
      <w:pPr>
        <w:pStyle w:val="TextBody"/>
        <w:bidi w:val="0"/>
        <w:spacing w:lineRule="auto" w:line="288" w:before="360" w:after="283"/>
        <w:jc w:val="both"/>
        <w:rPr/>
      </w:pPr>
      <w:r>
        <w:rPr>
          <w:rFonts w:ascii="Times New Roman;sans-serif" w:hAnsi="Times New Roman;sans-serif"/>
          <w:b w:val="false"/>
          <w:i/>
          <w:color w:val="000000"/>
          <w:sz w:val="20"/>
          <w:u w:val="single"/>
        </w:rPr>
        <w:t>Gross Profit and Gross Profit Margin</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Expenses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selling and marketing, and general and administrative expenses.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Research and Development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expect our research and development expenses will increase in absolute dollars as our business grows.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Sales and Marketing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expenses consist primarily of personnel-related costs, brand marketing costs, lead generation costs, sales incentives,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General and Administrative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personnel-related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Convertible Notes Fair Value Adjustment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convertible notes to investors in July 2021 (the “July 2021 Convertible Notes”), and as part of the purchase consideration related to the Jiobit Acquisition in September 2021 (the “September 2021 Convertible Notes” and together with the July 2021 Convertible Notes, the “Convertible Notes”). The September 2021 Convertible Notes are recorded at fair value and are revalued at each reporting period.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Derivative Liability Fair Value Adjustment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liability fair value adjustment relates to the change in the fair value of the embedded conversion and redemption features associated with the July 2021 Convertible Notes.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Income (Expense), net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statements of operations and comprehensive loss for the three months ended March 31, 2023 and 2022.</w:t>
      </w:r>
    </w:p>
    <w:p>
      <w:pPr>
        <w:pStyle w:val="TextBody"/>
        <w:bidi w:val="0"/>
        <w:spacing w:before="0" w:after="0"/>
        <w:jc w:val="both"/>
        <w:rPr/>
      </w:pPr>
      <w:r>
        <w:rPr/>
      </w:r>
    </w:p>
    <w:tbl>
      <w:tblPr>
        <w:tblW w:w="8169" w:type="dxa"/>
        <w:jc w:val="left"/>
        <w:tblInd w:w="0" w:type="dxa"/>
        <w:tblLayout w:type="fixed"/>
        <w:tblCellMar>
          <w:top w:w="28" w:type="dxa"/>
          <w:left w:w="28" w:type="dxa"/>
          <w:bottom w:w="28" w:type="dxa"/>
          <w:right w:w="28" w:type="dxa"/>
        </w:tblCellMar>
      </w:tblPr>
      <w:tblGrid>
        <w:gridCol w:w="1522"/>
        <w:gridCol w:w="1336"/>
        <w:gridCol w:w="1341"/>
        <w:gridCol w:w="211"/>
        <w:gridCol w:w="796"/>
        <w:gridCol w:w="109"/>
        <w:gridCol w:w="109"/>
        <w:gridCol w:w="109"/>
        <w:gridCol w:w="109"/>
        <w:gridCol w:w="211"/>
        <w:gridCol w:w="796"/>
        <w:gridCol w:w="109"/>
        <w:gridCol w:w="109"/>
        <w:gridCol w:w="109"/>
        <w:gridCol w:w="109"/>
        <w:gridCol w:w="290"/>
        <w:gridCol w:w="250"/>
        <w:gridCol w:w="544"/>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subscription revenue</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hardware revenue</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other revenue</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Operating expenses</w:t>
            </w:r>
            <w:r>
              <w:rPr>
                <w:rFonts w:ascii="Times New Roman;sans-serif" w:hAnsi="Times New Roman;sans-serif"/>
                <w:b/>
                <w:color w:val="000000"/>
                <w:sz w:val="13"/>
              </w:rPr>
              <w:t>(1)</w:t>
            </w:r>
            <w:r>
              <w:rPr>
                <w:rFonts w:ascii="Times New Roman;sans-serif" w:hAnsi="Times New Roman;sans-serif"/>
                <w:b/>
                <w:color w:val="000000"/>
                <w:sz w:val="20"/>
              </w:rPr>
              <w:t xml:space="preserve">: </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w:t>
      </w:r>
    </w:p>
    <w:tbl>
      <w:tblPr>
        <w:tblW w:w="7135" w:type="dxa"/>
        <w:jc w:val="left"/>
        <w:tblInd w:w="0" w:type="dxa"/>
        <w:tblLayout w:type="fixed"/>
        <w:tblCellMar>
          <w:top w:w="28" w:type="dxa"/>
          <w:left w:w="28" w:type="dxa"/>
          <w:bottom w:w="28" w:type="dxa"/>
          <w:right w:w="28" w:type="dxa"/>
        </w:tblCellMar>
      </w:tblPr>
      <w:tblGrid>
        <w:gridCol w:w="1248"/>
        <w:gridCol w:w="1099"/>
        <w:gridCol w:w="1102"/>
        <w:gridCol w:w="211"/>
        <w:gridCol w:w="616"/>
        <w:gridCol w:w="109"/>
        <w:gridCol w:w="109"/>
        <w:gridCol w:w="109"/>
        <w:gridCol w:w="109"/>
        <w:gridCol w:w="211"/>
        <w:gridCol w:w="616"/>
        <w:gridCol w:w="109"/>
        <w:gridCol w:w="109"/>
        <w:gridCol w:w="109"/>
        <w:gridCol w:w="109"/>
        <w:gridCol w:w="308"/>
        <w:gridCol w:w="308"/>
        <w:gridCol w:w="54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results of operations as a percentage of total revenue: </w:t>
      </w:r>
    </w:p>
    <w:tbl>
      <w:tblPr>
        <w:tblW w:w="6786" w:type="dxa"/>
        <w:jc w:val="left"/>
        <w:tblInd w:w="0" w:type="dxa"/>
        <w:tblLayout w:type="fixed"/>
        <w:tblCellMar>
          <w:top w:w="28" w:type="dxa"/>
          <w:left w:w="28" w:type="dxa"/>
          <w:bottom w:w="28" w:type="dxa"/>
          <w:right w:w="28" w:type="dxa"/>
        </w:tblCellMar>
      </w:tblPr>
      <w:tblGrid>
        <w:gridCol w:w="1523"/>
        <w:gridCol w:w="1337"/>
        <w:gridCol w:w="1340"/>
        <w:gridCol w:w="254"/>
        <w:gridCol w:w="212"/>
        <w:gridCol w:w="491"/>
        <w:gridCol w:w="197"/>
        <w:gridCol w:w="197"/>
        <w:gridCol w:w="197"/>
        <w:gridCol w:w="254"/>
        <w:gridCol w:w="212"/>
        <w:gridCol w:w="572"/>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expenses: </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Revenue </w:t>
      </w:r>
    </w:p>
    <w:p>
      <w:pPr>
        <w:pStyle w:val="TextBody"/>
        <w:bidi w:val="0"/>
        <w:spacing w:before="0" w:after="0"/>
        <w:jc w:val="left"/>
        <w:rPr/>
      </w:pPr>
      <w:r>
        <w:rPr/>
      </w:r>
    </w:p>
    <w:tbl>
      <w:tblPr>
        <w:tblW w:w="6700" w:type="dxa"/>
        <w:jc w:val="left"/>
        <w:tblInd w:w="0" w:type="dxa"/>
        <w:tblLayout w:type="fixed"/>
        <w:tblCellMar>
          <w:top w:w="28" w:type="dxa"/>
          <w:left w:w="28" w:type="dxa"/>
          <w:bottom w:w="28" w:type="dxa"/>
          <w:right w:w="28" w:type="dxa"/>
        </w:tblCellMar>
      </w:tblPr>
      <w:tblGrid>
        <w:gridCol w:w="669"/>
        <w:gridCol w:w="587"/>
        <w:gridCol w:w="58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6"/>
        <w:gridCol w:w="219"/>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$18.6 million, or 56%, during the three months ended March 31, 2023 as compared to the three months ended March 31, 2022, due to a growth in total subscriptions, including 22% growth in Paying Circles and a full quarter’s impact of the price increases for Life360 subscriptions which was implemented during the three months ended December 31, 2022.</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revenue increased $0.3 million, or 3%, during the three months ended March 31, 2023 as compared to the three months ended March 31, 2022, due to less discounts and promotions offered by the Company.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decreased $1.8 million, or 21%, during the three months ended March 31, 2023 as compared to the three months ended March 31, 2022, due to our strategic shift to focus on a single aggregated data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Revenue, Gross Profit, and Gross Margin </w:t>
      </w:r>
    </w:p>
    <w:tbl>
      <w:tblPr>
        <w:tblW w:w="7008" w:type="dxa"/>
        <w:jc w:val="left"/>
        <w:tblInd w:w="0" w:type="dxa"/>
        <w:tblLayout w:type="fixed"/>
        <w:tblCellMar>
          <w:top w:w="28" w:type="dxa"/>
          <w:left w:w="28" w:type="dxa"/>
          <w:bottom w:w="28" w:type="dxa"/>
          <w:right w:w="28" w:type="dxa"/>
        </w:tblCellMar>
      </w:tblPr>
      <w:tblGrid>
        <w:gridCol w:w="663"/>
        <w:gridCol w:w="582"/>
        <w:gridCol w:w="584"/>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16"/>
        <w:gridCol w:w="219"/>
        <w:gridCol w:w="316"/>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 increased by $1.0 million, or 14%, during the three months ended March 31, 2023 as compared to the three months ended March 31, 2022, due to an increase of $0.7 million in membership offerings as a result of an increase in direct costs related to product offerings and increases of $0.3 million in technology expenses and $0.3 million in professional and outside services associated with Company growth. These increases were partially offset by a decrease of $0.5 million in personnel-related costs and stock-based compensation costs attributable to the Company’s integration with Tile and the recategorization of the combined workforce.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gross margin increased to 84% during the three months ended March 31, 2023 from 79% during the three months ended March 31, 2022, primarily due to the subscription price increases implemented by the Company during the fourth quarter of the year ended December 31, 2022.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increased by $1.6 million, or 21%, during the three months ended March 31, 2023 as compared to the three months ended March 31, 2022, primarily due to an increase of $1.3 million in hardware costs relating to battery, shipping, and freight expenses largely reflecting the alignment of accounting policies as well as an increase of $0.3 million in personnel-related costs and stock-based compensation costs attributable to the Company’s integration with Tile and the recategorization of the combined workforce.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gross margin decreased to 6% during the three months ended March 31, 2023 from 19% during the three months ended March 31, 2022, primarily due to the negative impacts of increased battery, shipping, and freight expenses and additional personnel-related costs and stock-based compensation costs. </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Research and Development</w:t>
      </w:r>
      <w:r>
        <w:rPr>
          <w:color w:val="000000"/>
        </w:rPr>
        <w:t xml:space="preserve"> </w:t>
      </w:r>
    </w:p>
    <w:tbl>
      <w:tblPr>
        <w:tblW w:w="6880"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$1.5 million, or 6%, during the three months ended March 31, 2023 as compared to the three months ended March 31, 2022. The increase was primarily due to an increase of $2.8 million in personnel-related costs and stock-based compensation, $1.9 million of which was due to severance payments associated with the Company’s reduction in workforce which took place during the three months ended March 31, 2023. The remaining increase in personnel-related costs and stock-based compensation was due to increased volume of stock grants awarded to employees. The Company also saw an increase of $0.9 million related to a raw materials inventory write-off. The increases were partially offset by a decrease of $1.7 million in professional and outside services and $0.6 million in technology and other expenses as the Company had a decreased need for contractor spend as a result of the Tile and Jiobit businesses being substantially fully integrated.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Sales and Marketing</w:t>
      </w:r>
      <w:r>
        <w:rPr>
          <w:color w:val="000000"/>
        </w:rPr>
        <w:t xml:space="preserve"> </w:t>
      </w:r>
    </w:p>
    <w:tbl>
      <w:tblPr>
        <w:tblW w:w="6325" w:type="dxa"/>
        <w:jc w:val="left"/>
        <w:tblInd w:w="0" w:type="dxa"/>
        <w:tblLayout w:type="fixed"/>
        <w:tblCellMar>
          <w:top w:w="28" w:type="dxa"/>
          <w:left w:w="28" w:type="dxa"/>
          <w:bottom w:w="28" w:type="dxa"/>
          <w:right w:w="28" w:type="dxa"/>
        </w:tblCellMar>
      </w:tblPr>
      <w:tblGrid>
        <w:gridCol w:w="634"/>
        <w:gridCol w:w="558"/>
        <w:gridCol w:w="56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$1.1 million, or 5%, during the three months ended March 31, 2023 as compared to the three months ended March 31, 2022. This increase was primarily due to a $0.9 million increase in marketing expenses consisting of increases of $2.0 million in channel partner commission charges partially offset by a $0.4 million decrease in paid user acquisition spend and a $0.7 million decrease in other marketing spend. The increase was also related to an additional $0.7 million in personnel and related costs and stock-based compensation primarily due to severance payments attributable to the Company’s reduction in workforce which took place during the three months ended March 31, 2023. These increases were partially offset by a decrease of $0.5 million in professional and outside services due to the Company’s decreased need for contractor spend as a result of the Tile and Jiobit businesses being substantially fully integrated.</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General and Administrative</w:t>
      </w:r>
      <w:r>
        <w:rPr>
          <w:color w:val="000000"/>
        </w:rPr>
        <w:t xml:space="preserve"> </w:t>
      </w:r>
    </w:p>
    <w:tbl>
      <w:tblPr>
        <w:tblW w:w="6850" w:type="dxa"/>
        <w:jc w:val="left"/>
        <w:tblInd w:w="0" w:type="dxa"/>
        <w:tblLayout w:type="fixed"/>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721"/>
        <w:gridCol w:w="109"/>
        <w:gridCol w:w="109"/>
        <w:gridCol w:w="109"/>
        <w:gridCol w:w="109"/>
        <w:gridCol w:w="211"/>
        <w:gridCol w:w="436"/>
        <w:gridCol w:w="109"/>
        <w:gridCol w:w="109"/>
        <w:gridCol w:w="109"/>
        <w:gridCol w:w="109"/>
        <w:gridCol w:w="203"/>
        <w:gridCol w:w="203"/>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remained flat during the three months ended March 31, 2023 as compared to the three months ended March 31, 2022. The Company saw a decrease of $4.1 million in professional and outside services associated with expenses related to accounting, legal and advisory services in connection with the Company’s Form 10 filing and the Tile Acquisition during three months ended March 31, 2023, offset by an increase of $4.0 million loss on revaluation of contingent consideration related to the Jiobit Acquisition incurred during the three months ended March 31, 2022.</w:t>
      </w:r>
    </w:p>
    <w:p>
      <w:pPr>
        <w:pStyle w:val="TextBody"/>
        <w:bidi w:val="0"/>
        <w:spacing w:lineRule="auto" w:line="288" w:before="360" w:after="283"/>
        <w:ind w:left="0" w:right="0" w:firstLine="450"/>
        <w:jc w:val="both"/>
        <w:rPr/>
      </w:pPr>
      <w:r>
        <w:rPr>
          <w:rFonts w:ascii="Times New Roman;sans-serif" w:hAnsi="Times New Roman;sans-serif"/>
          <w:b w:val="false"/>
          <w:i/>
          <w:color w:val="000000"/>
          <w:sz w:val="20"/>
          <w:u w:val="single"/>
        </w:rPr>
        <w:t>Convertible Notes Fair Value Adjustment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recorded gains associated with the convertible notes fair value adjustment of $0.1 million and $1.6 million, respectively. The change in fair value is primarily driven by the share price volatility and reduction in time to convert.</w:t>
      </w:r>
    </w:p>
    <w:p>
      <w:pPr>
        <w:pStyle w:val="TextBody"/>
        <w:bidi w:val="0"/>
        <w:spacing w:lineRule="auto" w:line="288" w:before="360" w:after="283"/>
        <w:ind w:left="0" w:right="0" w:firstLine="450"/>
        <w:jc w:val="both"/>
        <w:rPr/>
      </w:pPr>
      <w:r>
        <w:rPr>
          <w:rFonts w:ascii="Times New Roman;sans-serif" w:hAnsi="Times New Roman;sans-serif"/>
          <w:b w:val="false"/>
          <w:i/>
          <w:color w:val="000000"/>
          <w:sz w:val="20"/>
          <w:u w:val="single"/>
        </w:rPr>
        <w:t>Derivative Liability Fair Value Adjustment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derivative liability fair value decreased slightly during the three months ended March 31, 2023 as compared to the three months ended March 31, 2022. The changes are due to the revaluation of the derivative liability at each reporting period and are related to embedded redemption features bifurcated from the July 2021 Convertible Notes issued to investors. </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Income (Expense), Net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$1.4 million, or 254%, during the three months ended March 31, 2023 as compared to the three months ended March 31, 2022. Other income (expense) includes interest income, dividend income, foreign exchange losses, and interest expense associated with the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measures presented in our condensed consolidated financial statements, we use the following key metrics to evaluate our business, measure our performance, identify trends affecting our business, develop financial forecasts, and make strategic decisions. Key operating metrics are presented in millions, except Average Revenue per Paying Circle (“ARPPC”), Average Revenue per Paying Subscription (“ARPPS”) and Average Selling Price (“ASP”), however percentage changes are calculated based on actual results. As a result, percentage changes may not recalculate based on figures presented due to rounding. Please refer to “—Results of Operations” for additional metrics management reviews in conjunction with the consolidated financial statements. </w:t>
      </w:r>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Key Operating Metrics </w:t>
      </w:r>
    </w:p>
    <w:tbl>
      <w:tblPr>
        <w:tblW w:w="7375" w:type="dxa"/>
        <w:jc w:val="left"/>
        <w:tblInd w:w="0" w:type="dxa"/>
        <w:tblLayout w:type="fixed"/>
        <w:tblCellMar>
          <w:top w:w="28" w:type="dxa"/>
          <w:left w:w="28" w:type="dxa"/>
          <w:bottom w:w="28" w:type="dxa"/>
          <w:right w:w="28" w:type="dxa"/>
        </w:tblCellMar>
      </w:tblPr>
      <w:tblGrid>
        <w:gridCol w:w="868"/>
        <w:gridCol w:w="755"/>
        <w:gridCol w:w="776"/>
        <w:gridCol w:w="336"/>
        <w:gridCol w:w="1150"/>
        <w:gridCol w:w="173"/>
        <w:gridCol w:w="173"/>
        <w:gridCol w:w="173"/>
        <w:gridCol w:w="173"/>
        <w:gridCol w:w="336"/>
        <w:gridCol w:w="982"/>
        <w:gridCol w:w="173"/>
        <w:gridCol w:w="109"/>
        <w:gridCol w:w="109"/>
        <w:gridCol w:w="109"/>
        <w:gridCol w:w="218"/>
        <w:gridCol w:w="218"/>
        <w:gridCol w:w="544"/>
      </w:tblGrid>
      <w:tr>
        <w:trPr/>
        <w:tc>
          <w:tcPr>
            <w:tcW w:w="86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ARPPC, ARPPS and ASP)</w:t>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AMR</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MAUs</w:t>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Paying Circles</w:t>
            </w:r>
            <w:r>
              <w:rPr>
                <w:rFonts w:ascii="Times New Roman;sans-serif" w:hAnsi="Times New Roman;sans-serif"/>
                <w:b w:val="false"/>
                <w:color w:val="000000"/>
                <w:sz w:val="13"/>
              </w:rPr>
              <w:t>1</w:t>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ARPPC</w:t>
            </w:r>
            <w:r>
              <w:rPr>
                <w:rFonts w:ascii="Times New Roman;sans-serif" w:hAnsi="Times New Roman;sans-serif"/>
                <w:b w:val="false"/>
                <w:color w:val="000000"/>
                <w:sz w:val="13"/>
              </w:rPr>
              <w:t>1</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Subscriptions</w:t>
            </w:r>
            <w:r>
              <w:rPr>
                <w:rFonts w:ascii="Times New Roman;sans-serif" w:hAnsi="Times New Roman;sans-serif"/>
                <w:b w:val="false"/>
                <w:color w:val="000000"/>
                <w:sz w:val="13"/>
              </w:rPr>
              <w:t>1, 2</w:t>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ARPPS</w:t>
            </w:r>
            <w:r>
              <w:rPr>
                <w:rFonts w:ascii="Times New Roman;sans-serif" w:hAnsi="Times New Roman;sans-serif"/>
                <w:b w:val="false"/>
                <w:color w:val="000000"/>
                <w:sz w:val="13"/>
              </w:rPr>
              <w:t>1, 2</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hardware units shipped</w:t>
            </w:r>
            <w:r>
              <w:rPr>
                <w:rFonts w:ascii="Times New Roman;sans-serif" w:hAnsi="Times New Roman;sans-serif"/>
                <w:b w:val="false"/>
                <w:color w:val="000000"/>
                <w:sz w:val="13"/>
              </w:rPr>
              <w:t>2</w:t>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ASP</w:t>
            </w:r>
            <w:r>
              <w:rPr>
                <w:rFonts w:ascii="Times New Roman;sans-serif" w:hAnsi="Times New Roman;sans-serif"/>
                <w:b w:val="false"/>
                <w:color w:val="000000"/>
                <w:sz w:val="13"/>
              </w:rPr>
              <w:t>2</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Arial;sans-serif" w:hAnsi="Arial;sans-serif"/>
          <w:b w:val="false"/>
          <w:color w:val="000000"/>
          <w:sz w:val="24"/>
        </w:rPr>
      </w:pPr>
      <w:r>
        <w:rPr>
          <w:rFonts w:ascii="Arial;sans-serif" w:hAnsi="Arial;sans-serif"/>
          <w:b w:val="false"/>
          <w:color w:val="000000"/>
          <w:sz w:val="24"/>
        </w:rPr>
        <w:t>__________</w:t>
      </w:r>
    </w:p>
    <w:p>
      <w:pPr>
        <w:pStyle w:val="TextBody"/>
        <w:bidi w:val="0"/>
        <w:spacing w:lineRule="auto" w:line="288" w:before="60" w:after="283"/>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Metrics presented as of March 31,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w:t>
      </w:r>
    </w:p>
    <w:p>
      <w:pPr>
        <w:pStyle w:val="TextBody"/>
        <w:bidi w:val="0"/>
        <w:spacing w:lineRule="auto" w:line="288" w:before="120" w:after="283"/>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Metrics presented for the three months ended March 31, 2022 are adjusted to include pre-acquisition data for Tile related to periods before the acquisition of Tile on January 5, 2022.</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Annualized Monthly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AMR as of March 31, 2023, and 2022 was $239.5 million and $166.1 million, respectively, representing an increase of 44% year-over-year.</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Monthly Active Users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large and growing global member base as of March 31, 2023. A Life360 monthly active user (“MAU”) is defined as a unique user who engages with our Life360 branded services each month, which includes both paying and non-paying members. As of March 31, 2023 and 2022, we had approximately 50.8 million and approximately 38.3 million MAUs on the Life360 Platform, respectively, representing an increase of 33% year-over-year. We believe this has been driven by continued strong new user growth and retention.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Paying Circles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 Paying Circle as a group of Life360 users with a paying subscription and who has been billed as of the end of period. Each subscription covers all members in the payor’s Circle so everyone in the Circle can utilize the benefits of a Life360 Membership, including access to premium location, driving, digital and emergency safety insights and services.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2022, we had approximately 1.6 million and 1.3 million paid subscribers to services under our Life360 brand, respectively, representing an increase of 22% year-over-year.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grow the number of Paying Circles by increasing our free member base, converting free members to subscribers, and retaining them over time with the provision of high-quality family and safety services.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comparison of Paying Circles as of March 31, 2022 using the current and prior definitions (in millions). </w:t>
      </w:r>
    </w:p>
    <w:p>
      <w:pPr>
        <w:pStyle w:val="TextBody"/>
        <w:bidi w:val="0"/>
        <w:spacing w:before="0" w:after="0"/>
        <w:jc w:val="both"/>
        <w:rPr/>
      </w:pPr>
      <w:r>
        <w:rPr/>
      </w:r>
    </w:p>
    <w:tbl>
      <w:tblPr>
        <w:tblW w:w="4543" w:type="dxa"/>
        <w:jc w:val="left"/>
        <w:tblInd w:w="0" w:type="dxa"/>
        <w:tblLayout w:type="fixed"/>
        <w:tblCellMar>
          <w:top w:w="28" w:type="dxa"/>
          <w:left w:w="28" w:type="dxa"/>
          <w:bottom w:w="28" w:type="dxa"/>
          <w:right w:w="28" w:type="dxa"/>
        </w:tblCellMar>
      </w:tblPr>
      <w:tblGrid>
        <w:gridCol w:w="1048"/>
        <w:gridCol w:w="920"/>
        <w:gridCol w:w="926"/>
        <w:gridCol w:w="336"/>
        <w:gridCol w:w="336"/>
        <w:gridCol w:w="977"/>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 (current definition)</w:t>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 (prior definition)</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Circle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Average Revenue per Paying Circle (“ARPPC”) as subscription revenue derived from the Life360 mobile application for the reported period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our ARPPC was $120.70 and $88.98, respectively. As a result of an increase in Paying Circles combined with an increased mix of sales towards higher-priced subscription plans, we experienced an increase of 36% in our ARPPC year-over-year.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ARPPC is a key indicator utilized by Life360 to determine the effective penetration of our tiered product offering for Paying Circles. The increase in pricing for new Paying Circles beginning in August 2022 has led to subscribers signing up for higher price products over time, increasing ARPPC.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comparison of ARPPC as of March 31, 2022 using the current and prior definitions.</w:t>
      </w:r>
    </w:p>
    <w:p>
      <w:pPr>
        <w:pStyle w:val="TextBody"/>
        <w:bidi w:val="0"/>
        <w:spacing w:before="0" w:after="0"/>
        <w:jc w:val="both"/>
        <w:rPr/>
      </w:pPr>
      <w:r>
        <w:rPr/>
      </w:r>
    </w:p>
    <w:tbl>
      <w:tblPr>
        <w:tblW w:w="3973" w:type="dxa"/>
        <w:jc w:val="left"/>
        <w:tblInd w:w="0" w:type="dxa"/>
        <w:tblLayout w:type="fixed"/>
        <w:tblCellMar>
          <w:top w:w="28" w:type="dxa"/>
          <w:left w:w="28" w:type="dxa"/>
          <w:bottom w:w="28" w:type="dxa"/>
          <w:right w:w="28" w:type="dxa"/>
        </w:tblCellMar>
      </w:tblPr>
      <w:tblGrid>
        <w:gridCol w:w="841"/>
        <w:gridCol w:w="739"/>
        <w:gridCol w:w="744"/>
        <w:gridCol w:w="304"/>
        <w:gridCol w:w="889"/>
        <w:gridCol w:w="45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ARPPC (current definition)</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ARPPC (prior definition)</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Subscriptions as the number of paying subscribers associated with the Life360, Tile and Jiobit brands who have been billed as of the end of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2022, we had approximately 2.1 million and 1.8 million paid subscribers to services under the Life360, Tile, and Jiobit brands, respectively, representing an increase of 18% year-over-year.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grow the number of Subscriptions by selling hardware units and increasing our free member base, converting free members to subscribers, and retaining them over time with the provision of item tracking and high-quality family and safety services.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comparison of Subscriptions as of March 31, 2022 using the current and prior definitions (in millions). </w:t>
      </w:r>
    </w:p>
    <w:p>
      <w:pPr>
        <w:pStyle w:val="TextBody"/>
        <w:bidi w:val="0"/>
        <w:spacing w:before="0" w:after="0"/>
        <w:jc w:val="both"/>
        <w:rPr/>
      </w:pPr>
      <w:r>
        <w:rPr/>
      </w:r>
    </w:p>
    <w:tbl>
      <w:tblPr>
        <w:tblW w:w="4469" w:type="dxa"/>
        <w:jc w:val="left"/>
        <w:tblInd w:w="0" w:type="dxa"/>
        <w:tblLayout w:type="fixed"/>
        <w:tblCellMar>
          <w:top w:w="28" w:type="dxa"/>
          <w:left w:w="28" w:type="dxa"/>
          <w:bottom w:w="28" w:type="dxa"/>
          <w:right w:w="28" w:type="dxa"/>
        </w:tblCellMar>
      </w:tblPr>
      <w:tblGrid>
        <w:gridCol w:w="1022"/>
        <w:gridCol w:w="898"/>
        <w:gridCol w:w="900"/>
        <w:gridCol w:w="336"/>
        <w:gridCol w:w="336"/>
        <w:gridCol w:w="977"/>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(current definition)</w:t>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(prior definition)</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ARPPS as total subscription revenue for the respective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ARPPS for the three months ended March 31, 2023 and 2022 was $97.98 and $74.66, respectively, representing an increase of 31% year over year.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ARPPS has increased year over year as a result of the growth in subscriptions and subscription price increases implemented by the Company during the fourth quarter of the year ended December 31, 2022.</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comparison of ARPPS as of March 31, 2022 using the current and prior definitions. </w:t>
      </w:r>
    </w:p>
    <w:p>
      <w:pPr>
        <w:pStyle w:val="TextBody"/>
        <w:bidi w:val="0"/>
        <w:spacing w:before="0" w:after="0"/>
        <w:jc w:val="both"/>
        <w:rPr/>
      </w:pPr>
      <w:r>
        <w:rPr/>
      </w:r>
    </w:p>
    <w:tbl>
      <w:tblPr>
        <w:tblW w:w="3943" w:type="dxa"/>
        <w:jc w:val="left"/>
        <w:tblInd w:w="0" w:type="dxa"/>
        <w:tblLayout w:type="fixed"/>
        <w:tblCellMar>
          <w:top w:w="28" w:type="dxa"/>
          <w:left w:w="28" w:type="dxa"/>
          <w:bottom w:w="28" w:type="dxa"/>
          <w:right w:w="28" w:type="dxa"/>
        </w:tblCellMar>
      </w:tblPr>
      <w:tblGrid>
        <w:gridCol w:w="831"/>
        <w:gridCol w:w="729"/>
        <w:gridCol w:w="734"/>
        <w:gridCol w:w="304"/>
        <w:gridCol w:w="889"/>
        <w:gridCol w:w="456"/>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ARPPS (current definition)</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ARPPS (prior definition)</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Hardware Units Shipped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hardware units shipped represents the number of tracking devices sold during a period, net of returns by our retail partners and directly to consumers. Selling units contributes to hardware revenue and ultimately increases the number of users eligible for a Tile or Jiobit subscription. For the three months ended March 31, 2023, Life360 sold approximately 0.6 million units, down approximately 17% as compared to the 0.7 million units sold during the three months ended March 31, 2022, reflecting the backdrop of weaker consumer electronics category demand.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Average Sales Price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net ASP of a unit, we divide hardware revenue recognized during a period by the number of net hardware units shipped (“ASP”) during the same period. ASP is largely driven by the price we charge customers, including the price we charge our retail partners, net of customer allowances, and directly to consumers. For the three months ended March 31, 2023, the net ASP of a unit was $17.22, an increase of 14% compared to the three months ended March 31, 2022, reflecting a change in product mix and reduced promotional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cash equivalents of $61.4 million and restricted cash of $14.7 million. As of December 31, 2022, we had cash and cash equivalents of $75.4 million and restricted cash of $14.9 million.</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We believe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we had a banking relationship with SVB. As of the closure of SVB on March 10, 2023, we held $6.1 million in direct deposits with SVB, which represented approximately 6.4% of our total cash and cash equivalents as of that date. We also held $75.4 million in shares of money market mutual funds managed by other institutions for which SVB acted as custodian. SVB was closed on March 10, 2023 by the California Department of Financial Protection and Innovation, which appointed the FDIC as receiver. On March 12, 2023, the U.S. Treasury, Federal Reserve, and FDIC announced that SVB depositors would have access to all of their money starting March 13, 2023, and on March 13, 2023, we regained access to our funds held in SVB accounts. While we did not experience any losses in such accounts, the recent failure of SVB exposed us to credit risk prior to the completion by the FDIC of the resolution of SVB in a manner that fully protected all depositors. As of March 31, 2023, First Citizens BancShares’ had announced the acquisition of SVB’s assets and we have transferred a portion of our accounts to alternate depository institutions, the financial position of which management believes does not expose our Company to significant credit risk or jeopardize our liquidity. However, we may be impacted by adverse developments which affect financial institutions, transactional counterparties, other companies in the financial services industry, or the financial services industry generally, which have in the past and may in the future threaten our ability to access our existing cash and cash equivalents and could have a material adverse effect on our business and financial condition.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cash are receipts from subscription and hardware sales as well as from data sales. Our primary uses of cash are payroll-related expenses, costs to acquire inventory, and costs to acquire customers, including user acquisition costs and commissions paid to channel partners.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our users pay in advance for annual subscriptions, while a majority pay in advance for monthly subscriptions. Deferred revenue consists of the unearned portion of customer billings, which is recognized as revenue in accordance with our revenue recognition policy. As of March 31, 2023 and December 31, 2022, we had deferred revenue of $32.5 million and $32.8 million, respectively, of which $30.1 million and $30.1 million is expected to be recorded as revenue in the next 12 months, provided all other revenue recognition criteria have been met. </w:t>
      </w:r>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activities were as follows for the periods presented: </w:t>
      </w:r>
    </w:p>
    <w:tbl>
      <w:tblPr>
        <w:tblW w:w="7764" w:type="dxa"/>
        <w:jc w:val="left"/>
        <w:tblInd w:w="0" w:type="dxa"/>
        <w:tblLayout w:type="fixed"/>
        <w:tblCellMar>
          <w:top w:w="28" w:type="dxa"/>
          <w:left w:w="28" w:type="dxa"/>
          <w:bottom w:w="28" w:type="dxa"/>
          <w:right w:w="28" w:type="dxa"/>
        </w:tblCellMar>
      </w:tblPr>
      <w:tblGrid>
        <w:gridCol w:w="1828"/>
        <w:gridCol w:w="1611"/>
        <w:gridCol w:w="1616"/>
        <w:gridCol w:w="211"/>
        <w:gridCol w:w="796"/>
        <w:gridCol w:w="109"/>
        <w:gridCol w:w="109"/>
        <w:gridCol w:w="109"/>
        <w:gridCol w:w="109"/>
        <w:gridCol w:w="211"/>
        <w:gridCol w:w="901"/>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collections from our paying users for subscriptions to our platform and hardware device sales. Our primary uses of cash from operating activities are for employee-related expenditures, inventory, infrastructure-related costs, commissions and other marketing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used in operating activities was $9.2 million. The primary factors affecting our operating cash flows during this period were our net loss of $14.1 million, impacted by $12.2 million of non-cash charges, and $7.3 million of cash used by changes in our operating assets and liabilities. The non-cash charges primarily consisted of stock-based compensation, depreciation and amortization, amortization of costs capitalized to obtain contracts, gain in convertible notes fair value adjustment, and non-cash revenue from an affiliate. The cash used by changes in our operating assets and liabilities was primarily due to an increase in prepaid expenses, related to certain cloud platform and customer service program costs, and other assets and a decrease in accounts payable and accrued expenses and other liabilities offset by a decrease in accounts receivable and inventory.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net cash used in operating activities was $21.5 million. The primary factors affecting our operating cash flows during this period were our net loss of $25.2 million, impacted by $2.8 million of non-cash charges and $0.9 million of cash provided by changes in our operating assets and liabilities. The non-cash charges primarily consisted of stock-based compensation, amortization of costs capitalized to obtain contracts, a gain on revaluation of contingent consideration, a gain attributable to the derivative liability fair value adjustment, and depreciation and amortization. The cash provided by changes in our operating assets and liabilities was primarily due to a decrease in accounts receivable and an increase in deferred revenue offset by a decrease in accounts payable and accrued expenses and other liabilities and an increase in inventory.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used in investing activities was $0.4 million, which primarily relates to the capitalization of internal use software costs in accordance with ASC 350-40, Intangibles — Goodwill and Other, Internal-Use Software.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net cash used in investing activities was $112.5 million, which primarily related to cash paid for the Tile Acquisition, net of cash acquired.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used by financing activities was $4.7 million, which primarily relates to $5.7 million of taxes paid related to net settlement of equity awards offset by $0.7 million of proceeds from the exercise of options and $0.3 million of proceeds from the repayment of notes due from affiliates.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net cash provided by financing activities was $0.9 million, which primarily related to $1.5 million of proceeds from the exercise of options, partially offset by $0.7 million of taxes paid related to net settlement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Obligations and Other Commitments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consist of obligations under our convertible notes, operating leases for office space, and other purchase commitments. Our obligations under our convertible notes are described in Notes 6 and 9 to our condensed consolidated financial statements. Information regarding our non-cancellable lease and other purchase commitments as of March 31, 2023, can be found in Notes 8 and 11 to our condensed consolidated financial statements. As of March 31,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Significant Management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experiences and on various other assumptions we believe to be reasonable under the circumstances. Actual results could differ materially from the estimates made by our management. Our significant accounting policies are discussed in Note 2, “Summary of Significant Accounting Policies” in our Annual Report on Form 10-K. There have been no significant changes to these policies for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Rate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we had $61.4 million and $75.4 million, respectively, of cash equivalents invested in cash and cash equivalents and money market funds. Our cash and cash equivalents are held for working capital purposes.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a hypothetical 10% relative change in interest rates would not have a material impact on our consolidated financial statements.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Exchange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Inflation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Value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we had $7.0 million and $7.0 million of liabilities that are measured at fair value, respectively. Fair value measurements include significant assumptions that are driven by market conditions and macroeconomic factors at measurement dates. Our consolidated results of operations are therefore subject to market fluctuations and may be affected in the future as a result of these fair value changes.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in connection with the acquisition of Jiobit, issued convertible notes with a fair value of $11.6 million. The Company will repay one third of the unconverted principal balance plus accrued interest to the holders of such notes, and they may be converted to common stock at any time at a fixed conversion price of $22.50 per share. Interest is accrued at the U.S. Prime rate plus 0.25%. The Company has elected the fair value option and remeasures the September 2021 Convertible Notes at their fair value at each reporting date and reflects the changes in fair value in earnings. See Note 9 to our condensed consolidated financial statements for more information.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the fair market value of the September 2021 Convertible Notes will increase as interest rates rise and decrease as interest rates fall. In addition, the fair value of the September 2021 Convertible Notes fluctuates when the market price of our common stock fluctuates. The estimated fair value of the September 2021 Convertible Notes is determined using a combination of the present value of the cash flows and the Black-Scholes option pricing model. Changes in the interest rate environment could have an effect on our future cash flows and earnings, depending on whether the debt is held to maturity or converted to shares of our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Evaluation of Disclosure Controls and Procedures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March 31, 2023 pursuant to Rule 13a</w:t>
        <w:noBreakHyphen/>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evaluation of our disclosure controls and procedures as of March 31, 2023, our Chief Executive Officer and Chief Financial Officer concluded that, as a result of material weaknesses in our internal control over financial reporting identified in connection with the preparation and audit of our consolidated financial statements for the year ended December 31, 2022 as discussed below, our disclosure controls and procedures were not effective as of March 31, 2023.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material weaknesses, management has concluded the condensed consolidated financial statements included in this Quarterly Report on Form 10-Q present fairly, in all material respects, the Company’s financial position, results of operations and cash flows of the Company for the periods presented in conformity with U.S. GAAP.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Material Weakness and Remediation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a combination of deficiencies, in internal control over financial reporting, such that there is a reasonable possibility that a material misstatement of a company’s annual and interim financial statements will not be detected or prevented on a timely basis.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audit of our Consolidated Financial Statements as of and for the year ended December 31, 2022, our management identified a material weakness related to management’s risk assessment process over information technology general controls, including certain controls over logical access, segregation of duties and change management, and certain process level controls including information used in the execution of those controls that impacted our financial reporting processes. The material weakness did not result in any identified misstatements in the financial statements, and there were no changes to previously issued financial results. However, the material weakness creates a reasonable possibility that a material misstatement to our consolidated financial statements would not be prevented or detected on a timely basis.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been implementing and continues to implement measures designed to ensure that control deficiencies contributing to the material weakness are remediated. The remediation actions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broadening the scope and improving the effectiveness of existing information technology general controls for access management, segregation of duties, change management and computer operations.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enhancing documentation of our IT controls for systems key to our financial reporting process.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providing training relating to the importance and execution of IT general controls for key systems that support financial reporting.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developing enhanced risk assessment procedures and controls to address IT risks related to key systems that support financial reporting.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performing an in-depth analysis of the roles and accesses within key financial reporting systems and redesigning roles and accesses to support a stronger control environment.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engaging internal and external resources to assist us with remediation and monitoring remediation progress.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believe these efforts will remediate the material weakness, the material weakness cannot be considered fully remediated until the applicable remedial controls operate for a sufficient period of time and management has concluded, through testing, that these controls are operating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Times New Roman;sans-serif" w:hAnsi="Times New Roman;sans-serif"/>
          <w:b/>
          <w:i/>
          <w:color w:val="231F20"/>
          <w:sz w:val="20"/>
        </w:rPr>
        <w:t>Changes in Internal Control over Financial Reporting</w:t>
      </w:r>
      <w:r>
        <w:rPr>
          <w:color w:val="231F2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changes intended to remediate the material weaknesses described above, there were no changes in our internal control over financial reporting identified in connection with the evaluation required by Rule 13a-15(d) and 15d-15(d) of the Exchange Act that occurred during the three months ended March 31, 2023 that have materially affected, or are reasonably likely to materially affect, our internal control over financial reporting. </w:t>
      </w:r>
    </w:p>
    <w:p>
      <w:pPr>
        <w:pStyle w:val="TextBody"/>
        <w:bidi w:val="0"/>
        <w:spacing w:before="120" w:after="283"/>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The information set forth under Note 11 </w:t>
      </w:r>
      <w:r>
        <w:rPr>
          <w:color w:val="000000"/>
        </w:rPr>
        <w:t>“</w:t>
      </w:r>
      <w:r>
        <w:rPr>
          <w:rFonts w:ascii="Times New Roman;sans-serif" w:hAnsi="Times New Roman;sans-serif"/>
          <w:b w:val="false"/>
          <w:color w:val="000000"/>
          <w:sz w:val="20"/>
        </w:rPr>
        <w:t>Commitments and Contingencies” in the notes to the consolidated financial statements under the caption “Litigation”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business is subject to numerous risks and uncertainties. These risks and uncertainties may cause our operations to vary materially from those contemplated by our forward-looking statements. Readers should carefully consider the information in this Form 10-Q in connection with the risk factors disclosed within Item 1A “Risk Factors” in the 2022 Annual Report on Form 10-K. There have been no material changes to our risk factors from those described in the 2022 Annual Report on Form 10-K, except as set forth below.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restructuring and the associated headcount reduction may not result in anticipated savings, could result in total costs and expenses that are greater than expected and could disrupt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January 2023, we implemented a workforce restructure, including reductions in both headcount and expenses. We may not realize, in full or in part, the anticipated benefits, savings and improvements in our cost structure from our restructuring efforts due to unforeseen difficulties, delays or unexpected costs. If we are unable to realize expected operational efficiencies and the cost savings from the restructuring, our operating results and financial condition would be adversely affected. Due to our restructuring, we may not be able to effectively manage our operations or retain qualified personnel, which may result in weaknesses to our infrastructure and operations, increased risk that we may be unable to comply with legal and regulatory requirements, increased risks to our internal controls and disclosure controls, and loss of employees and reduced productivity among remaining employees.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restructuring resulted in the loss of institutional knowledge and expertise and the reallocation of and combination of certain roles and responsibilities across the organization, all of which could adversely affect our operations. Further, the restructuring and possible additional cost-containment measures may yield unintended consequences, such as attrition beyond our intended workforce reduction and reduced employee morale. We may be required to rely more heavily on temporary or part-time employees, third party contractors and consultants to assist with managing our operations. These consultants are not our employees and may have commitments to, or consulting or advisory contracts with, other entities that may limit their availability to us. We will have only limited control over the activities of these consultants and can generally expect these individuals to devote only limited time to our activities. Failure of any of these persons to devote sufficient time and resources to our business could harm our business. Employee litigation related to the headcount reduction could be costly and prevent management from fully concentrating on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our management is unable to successfully manage this transition and restructuring activities, our expenses may be more than expected and we may be unable to implement our business strategy. As a result, our business, prospects, financial condition and results of operations could be negatively affected.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7"/>
        <w:gridCol w:w="269"/>
        <w:gridCol w:w="271"/>
        <w:gridCol w:w="109"/>
        <w:gridCol w:w="109"/>
        <w:gridCol w:w="109"/>
        <w:gridCol w:w="2658"/>
        <w:gridCol w:w="2620"/>
        <w:gridCol w:w="3753"/>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life360q123cjse.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life360q123cjse.htm">
              <w:r>
                <w:rPr>
                  <w:rStyle w:val="InternetLink"/>
                  <w:rFonts w:ascii="Times New Roman;sans-serif" w:hAnsi="Times New Roman;sans-serif"/>
                  <w:b w:val="false"/>
                  <w:color w:val="0000FF"/>
                  <w:sz w:val="20"/>
                  <w:u w:val="single"/>
                </w:rPr>
                <w:t>Separation Agreement between Life360, Inc. and CJ Prober</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life360q123xceo.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q123xceo.htm">
              <w:r>
                <w:rPr>
                  <w:rStyle w:val="InternetLink"/>
                  <w:rFonts w:ascii="Times New Roman;sans-serif" w:hAnsi="Times New Roman;sans-serif"/>
                  <w:b w:val="false"/>
                  <w:color w:val="0000FF"/>
                  <w:sz w:val="20"/>
                  <w:u w:val="single"/>
                </w:rPr>
                <w:t>Chief Executive Officer Certification Pursuant to Rule 13a-14(a) of the Exchange Act.</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life360q123xcfo.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q123xcfo.htm">
              <w:r>
                <w:rPr>
                  <w:rStyle w:val="InternetLink"/>
                  <w:rFonts w:ascii="Times New Roman;sans-serif" w:hAnsi="Times New Roman;sans-serif"/>
                  <w:b w:val="false"/>
                  <w:color w:val="0000FF"/>
                  <w:sz w:val="20"/>
                  <w:u w:val="single"/>
                </w:rPr>
                <w:t>Chief Financial Officer Certification Pursuant to Rule 13a-14(a) of the Exchange Act.</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life360q123xceo.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life360q123xce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life360q123xcfo.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q123xcf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w:t>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 </w:t>
      </w:r>
    </w:p>
    <w:p>
      <w:pPr>
        <w:pStyle w:val="TextBody"/>
        <w:bidi w:val="0"/>
        <w:spacing w:before="120" w:after="283"/>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c1f8da6d445b4c3f98f2f28d37fce7c5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5080"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219"/>
        <w:gridCol w:w="219"/>
        <w:gridCol w:w="219"/>
        <w:gridCol w:w="735"/>
        <w:gridCol w:w="735"/>
        <w:gridCol w:w="104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SEPARATION AGREEMENT </w:t>
      </w:r>
    </w:p>
    <w:p>
      <w:pPr>
        <w:pStyle w:val="TextBody"/>
        <w:bidi w:val="0"/>
        <w:spacing w:before="0" w:after="0"/>
        <w:jc w:val="center"/>
        <w:rPr/>
      </w:pPr>
      <w:r>
        <w:rPr/>
      </w:r>
    </w:p>
    <w:p>
      <w:pPr>
        <w:pStyle w:val="TextBody"/>
        <w:bidi w:val="0"/>
        <w:spacing w:before="0" w:after="2"/>
        <w:ind w:left="0" w:right="0" w:firstLine="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color w:val="222222"/>
          <w:sz w:val="22"/>
        </w:rPr>
      </w:pPr>
      <w:r>
        <w:rPr>
          <w:rFonts w:ascii="Times New Roman;sans-serif" w:hAnsi="Times New Roman;sans-serif"/>
          <w:b w:val="false"/>
          <w:color w:val="222222"/>
          <w:sz w:val="22"/>
        </w:rPr>
        <w:t>This Separation Agreement and Release of Claims (the “Agreement”) confirms the agreement between you and Life360, Inc. (the “Company”) regarding the termination of your employment with the Company and offers you the consideration described below in exchange for a general release of claims. Capitalized but undefined terms have the definitions set forth in that certain Employment Agreement between you and the Company dated November 22, 2021, as amended on or about April 11, 2022 (collectively the “Employment Agreement”). You acknowledge that, effective January 1, 2023, your employment transitioned from Tile, Inc. to the Company, with the rights and obligations pertaining to your employment with Tile, Inc. under the Employment Agreement transferring to your employment with the Company, such that the terms of your employment with the Company are the same as those of your employment with Tile, Inc., including, but not limited to, the transfer of the provisions of Paragraphs 6 and 7 of the Employment Agreement being applicable, as of January 1, 2023, to your employment with the Company and without the transition of your employment from Tile, Inc. to the Company having triggered any entitlement to any payment, accelerated vesting, or any other entitlement under Paragraphs 6 or 7 of the Employment Agreement except as otherwise set forth herein.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rPr>
        <w:t xml:space="preserve">Resignation and Extension of Separation Date. </w:t>
      </w:r>
      <w:r>
        <w:rPr>
          <w:rFonts w:ascii="Times New Roman;sans-serif" w:hAnsi="Times New Roman;sans-serif"/>
          <w:b w:val="false"/>
          <w:color w:val="000000"/>
          <w:sz w:val="22"/>
        </w:rPr>
        <w:t>You have indicated your intent to resign from your employment with the Company for Good Reason pursuant to the terms of the Employment Agreement. In exchange for the promises and releases herein, the Company agrees to extend your employment as detailed herein, rather than accept your resignation effective immediately or terminate your employment immediately. The Company agrees to allow you to remain in your current position with the Company until the earlier of a) 30 calendar days after the company hires a new Chief Operating Officer or equivalent role per the Company’s sole discretion or b) September 2, 2023, at which time you will resign from your employment with the Company (“Separation Date”). The Company agrees, as a term of this Agreement, to treat your resignation as being for Good Reason in exchange for your promises made herein. After the Separation Date, you will not say or do anything to any individual or entity in which you purport to bind the Company or any of its affiliates. You agree to remain bound by the provisions of the Employment Agreement through the Separation Date and bound by any terms and obligations thereof that continue by their terms and under applicable law after the Separation Date. You expressly acknowledge that, except as consideration for the promises and releases herein, you are not otherwise entitled to remain employed in your current position with the Company from the date you gave notice of intent to resign through the Separation Date, and that your continued employment with the Company through the Separation Date is adequate and just consideration for your promises herein. This extended period of employment with the Company is referred to herein as the “Extension Period.”</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rPr>
        <w:t xml:space="preserve">Separation Pay in Exchange for Additional Release in Connection with Resignation. </w:t>
      </w:r>
      <w:r>
        <w:rPr>
          <w:rFonts w:ascii="Times New Roman;sans-serif" w:hAnsi="Times New Roman;sans-serif"/>
          <w:b w:val="false"/>
          <w:color w:val="000000"/>
          <w:sz w:val="22"/>
        </w:rPr>
        <w:t>On or about the Separation Date, and subject to and in satisfaction of any and all obligations of the Company under Sections 6 and 7 of the Employment Agreement, the Company shall offer you a severance payment and other severance benefits in exchange for your agreement to an additional release in the form attached hereto as Exhibit C (“Second Separation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rPr>
        <w:t xml:space="preserve">General Release. </w:t>
      </w:r>
      <w:r>
        <w:rPr>
          <w:rFonts w:ascii="Times New Roman;sans-serif" w:hAnsi="Times New Roman;sans-serif"/>
          <w:b w:val="false"/>
          <w:color w:val="000000"/>
          <w:sz w:val="22"/>
        </w:rPr>
        <w:t>In consideration for the Extension Period, , the sufficiency of which as consideration you hereby acknowledge, to the fullest extent permitted by applicable law, you waive, release and promise never to assert any claims or causes of action, whether or not now known, against the Company or any of their related entities, affiliated companies, predecessors, successors or past or present subsidiaries, stockholders, directors, officers, employees, consultants, attorneys, agents, assigns and employee benefit plans (collectively the “Releasees”) with respect to any matter, including (without limitation) any matter related to your employment with the Company or any other of the Releasees or the termination of that employment, including (without limitation) claims or demands related to base pay, salary, bonuses, commissions, stock, stock options, stock- based compensation or any other equity and/or ownership interests in the Company, vacation/paid time off, fringe benefits, expense reimbursements, severance pay or any other form of compensation, attorneys’ fees or costs, claims of wrongful discharge, constructive discharge, emotional distress, defamation, invasion of privacy, fraud, breach of contract or breach of the covenant of good faith and fair dealing and any claims of discrimination or harassment based on sex, age, race, national origin, disability or any other basis under Title VII of the Civil Rights Act of 1964, the California Fair Employment and Housing Act, the California Labor Code, the Private Attorneys General Act (“PAGA”), the Age Discrimination in Employment Act of 1967, the Americans with Disabilities Act, the Fair Labor Standards Act, the National Labor Relations Act, the Family and Medical Leave Act, the Employee Retirement Income Security Act of 1974, as amended (“ERISA”), the Workers Adjustment and Retraining Notification Act and all other laws and regulations relating to employment. However, this release covers only those claims that arose prior to the execution of this Agreement and only those claims that may be waived by applicable law. Execution of this Agreement does not bar (a) any claim that arises hereafter, including (without limitation) a claim for breach of this Agreement, (b) any claim for coverage under any D&amp;O or other insurance policy, (c) any claim to indemnification under Section 2802 of the California Labor Code, any agreement with the Company or otherwise, (d) any right you have to file or pursue a claim for workers’ compensation or unemployment insurance, or (e) any rights which are not waivable as a matter of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covenant not to sue any of the Releasees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any of the Releasees, except as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this agreement does not limit your ability to file a charge or complaint with the Equal Employment Opportunity Commission, the Securities and Exchange Commission or any other federal, state or local governmental agency or commission (each, a “Government Agency”), except that you acknowledge and agree and hereby waive your right to any monetary benefits in connection with any such claim, charge or proceeding before the Equal Employment Opportunity Commission, the Securities and Exchange Commission, or any analogous federal, state or other government agency, to the extent allowed by applicable law. You further understand that this Agreement does not limit your ability to communicate with, or otherwise participate in any investigation or proceeding that may be conducted by, a Government Agency. Notwithstanding anything to the contrary herein, this Agreement does not limit your right to receive a statutory award for information provided to the Securities and Exchange Commission.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rPr>
        <w:t>Effective Date, Acknowledgment of Waiver of Claims under ADEA</w:t>
      </w:r>
      <w:r>
        <w:rPr>
          <w:rFonts w:ascii="Times New Roman;sans-serif" w:hAnsi="Times New Roman;sans-serif"/>
          <w:b w:val="false"/>
          <w:color w:val="000000"/>
          <w:sz w:val="22"/>
        </w:rPr>
        <w:t>. You acknowledge that you are knowingly and voluntarily waiving and releasing any rights you may have under the Age Discrimination in Employment Act of 1967 (ADEA) and the Older Workers Benefit Protection Act (OWBPA). You agree that this waiver and release does not apply to any rights or claims that may arise under the ADEA or OWBPA after the Effective Date of this Agreement (defined below). You also acknowledge that the consideration given for the waiver and release herein is in addition to anything of value to which you were already entitled. You further acknowledge that you have been advised by this writing, as required by the ADEA, that (a) your waiver and release do not apply to any rights or claims that may arise after the execution date of this Agreement; (b) you are advised hereby to consult with an attorney before signing this Agreement; (c) you have up to twenty-one (21) days from the date you receive this Agreement to execute this Agreement (although you may choose to knowingly and voluntarily execute this Agreement earlier, as signified by the date and signature below); (d) you have seven (7) days following your execution of this Agreement to revoke the Agreement; and (e) this Agreement will not be effective until the date upon which the revocation period has expired, which will be the eighth day after this Agreement is executed by you (the “Effective Date”); (f) the Company has no obligation to provide any of the sums or consideration or perform any act referred to in this Agreement until it becomes effective and enforceable; (g) you have carefully read, and understand, all of the provisions of this Agreement; and (h) this Agreement does not affect your ability to test the knowing and voluntary nature of this Agreement. You acknowledge that any such revocation must be made by delivering a written notice of revocation to Life360, Attention: Human Resources and for such revocation to be effective, notice must be received no later than 11:59 PM (Pacific Time) on the seventh (7th) calendar day after you execute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rPr>
        <w:t xml:space="preserve">Confidential Information and Invention Assignment Agreement. </w:t>
      </w:r>
      <w:r>
        <w:rPr>
          <w:rFonts w:ascii="Times New Roman;sans-serif" w:hAnsi="Times New Roman;sans-serif"/>
          <w:b w:val="false"/>
          <w:color w:val="000000"/>
          <w:sz w:val="22"/>
        </w:rPr>
        <w:t>At all times in the future, you will remain bound by the Confidential Information and Invention Assignment Agreement you signed upon joining the Company, and as updated throughout your employment, and a copy of which is attached as Exhibit B, and that this Agreement does not modify or impact such Confidential Information and Invention Assignment Agreement or your obligations under such agreement in any way. You further acknowledge that as a result of your employment with the Company you have had access to the Company’s Confidential Information (as defined in Confidential Information and Invention Assignment Agreement), that you will hold all Confidential Information in strictest confidence and that you will not make use of such Confidential Information on behalf of anyone. Except as expressly provided in this Agreement, this Agreement renders null and void all prior agreements between you and the Company and constitutes the entire agreement between you and the Company regarding the subject matter of this Agreement. This Agreement may be modified only in a written document signed by you and a duly authorized officer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rPr>
        <w:t>DTSA Notice</w:t>
      </w:r>
      <w:r>
        <w:rPr>
          <w:rFonts w:ascii="Times New Roman;sans-serif" w:hAnsi="Times New Roman;sans-serif"/>
          <w:b w:val="false"/>
          <w:color w:val="000000"/>
          <w:sz w:val="22"/>
        </w:rPr>
        <w:t>. Pursuant to the federal Defend Trade Secrets Act of 2016 (“DTSA”), you shall not be held criminally or civilly liable under the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to the your attorney in relation to a lawsuit for retaliation against you for reporting a suspected violation of law; or (iii) is made in a complaint or other document filed in a lawsuit or other proceeding, if such filing is made under seal and the trade secret is not disclosed except pursuant to court order. Under proper circumstances the DTSA may provide a limited exception to your obligations of confidentiality to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color w:val="000000"/>
          <w:sz w:val="22"/>
        </w:rPr>
        <w:t xml:space="preserve">Expense Reimbursements. </w:t>
      </w:r>
      <w:r>
        <w:rPr>
          <w:rFonts w:ascii="Times New Roman;sans-serif" w:hAnsi="Times New Roman;sans-serif"/>
          <w:b w:val="false"/>
          <w:color w:val="000000"/>
          <w:sz w:val="22"/>
        </w:rPr>
        <w:t>You agree that, on or within ten (10) days after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rPr>
        <w:t xml:space="preserve">Company Property. </w:t>
      </w:r>
      <w:r>
        <w:rPr>
          <w:rFonts w:ascii="Times New Roman;sans-serif" w:hAnsi="Times New Roman;sans-serif"/>
          <w:b w:val="false"/>
          <w:color w:val="000000"/>
          <w:sz w:val="22"/>
        </w:rPr>
        <w:t>Within five (5) business days after your contemplated advisory period ends (or earlier if requested by the Company), you will return to the Company all Company owned documents (and all copies thereof) and other Company property in your possession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monitors,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agree that you will make a diligent search to locate any such documents, property and information within the timeframe referenced above. In addition, if you have used any personally-owned computer, server, or email system to receive, store, review, prepare or transmit any confidential or proprietary data, materials or information of the Company, then within five (5) business days after your contemplated advisory period ends (or earlier if requested by the Company), you must provide the Company with a computer-useable copy of such information and then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rPr>
        <w:t>Acknowledgements and Representations</w:t>
      </w:r>
      <w:r>
        <w:rPr>
          <w:rFonts w:ascii="Times New Roman;sans-serif" w:hAnsi="Times New Roman;sans-serif"/>
          <w:b w:val="false"/>
          <w:color w:val="000000"/>
          <w:sz w:val="22"/>
        </w:rPr>
        <w:t>. You acknowledge and represent that you have not suffered any discrimination, harassment, or retaliation by any of the Releasees on account of your race, gender, national origin, religion, marital or registered domestic partner status, sexual orientation, age, disability, medical condition or any other characteristic protected by law. You acknowledge and represent that you have not been denied any leave, benefits, or rights to which you may have been entitled under the FMLA, CFRA or any other federal or state law, and that you have not suffered any job-related wrongs or injuries for which you might still be entitled to compensation or relief. You certify that you have not failed to report any work-related injuries or illnesses arising out of or in the course and scope of your employment with the Company. You further acknowledge and represent that, except as expressly provided in this Agreement, you have been paid all earned wages, bonuses, compensation, benefits and other amounts that any of the Released Parties have ever owed to you, and you understand that you will not receive any additional compensation, severance, or benefits after the Separation Date, with the exception of any vested right you may have under the terms of a written ERISA- qualified benefit plan.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color w:val="000000"/>
          <w:sz w:val="22"/>
        </w:rPr>
        <w:t xml:space="preserve">Waiver. </w:t>
      </w:r>
      <w:r>
        <w:rPr>
          <w:rFonts w:ascii="Times New Roman;sans-serif" w:hAnsi="Times New Roman;sans-serif"/>
          <w:b w:val="false"/>
          <w:color w:val="000000"/>
          <w:sz w:val="22"/>
        </w:rPr>
        <w:t>You expressly waive and release any and all rights and benefits under Section 1542 of the California Civil Code (or any analogous law of any other state), which reads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color w:val="000000"/>
          <w:sz w:val="22"/>
        </w:rPr>
        <w:t xml:space="preserve">No Admission. </w:t>
      </w:r>
      <w:r>
        <w:rPr>
          <w:rFonts w:ascii="Times New Roman;sans-serif" w:hAnsi="Times New Roman;sans-serif"/>
          <w:b w:val="false"/>
          <w:color w:val="000000"/>
          <w:sz w:val="22"/>
        </w:rPr>
        <w:t>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12.</w:t>
      </w:r>
      <w:r>
        <w:rPr>
          <w:rFonts w:ascii="Times New Roman;sans-serif" w:hAnsi="Times New Roman;sans-serif"/>
          <w:b/>
          <w:color w:val="000000"/>
          <w:sz w:val="22"/>
        </w:rPr>
        <w:t>No Actions or Claims</w:t>
      </w:r>
      <w:r>
        <w:rPr>
          <w:rFonts w:ascii="Times New Roman;sans-serif" w:hAnsi="Times New Roman;sans-serif"/>
          <w:b w:val="false"/>
          <w:color w:val="000000"/>
          <w:sz w:val="22"/>
        </w:rPr>
        <w:t>. Except as otherwise described in Paragraph 6, you represent that you have not filed any charges, complaints, grievances, arbitrations, lawsuits, or claims against the Company, with any local, state or federal agency, union or court from the beginning of time to the date of execution of this Agreement and that you will not do so at any time hereafter, based upon events occurring prior to the date of execution of this Agreement. In the event any court ever assumes jurisdiction of any lawsuit, claim, charge, grievance, arbitration, or complaint, or purports to bring any legal proceeding on your behalf, you will ask any such agency, union or court to withdraw from and/or dismiss any such action or grievance, with prejudice to the extent permitted by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color w:val="000000"/>
          <w:sz w:val="22"/>
        </w:rPr>
        <w:t>Confidentiality of Agreement</w:t>
      </w:r>
      <w:r>
        <w:rPr>
          <w:rFonts w:ascii="Times New Roman;sans-serif" w:hAnsi="Times New Roman;sans-serif"/>
          <w:b w:val="false"/>
          <w:color w:val="000000"/>
          <w:sz w:val="22"/>
        </w:rPr>
        <w:t>. You agree that this Agreement does not involve any claim against the Company or any of the Released Parties for discrimination, retaliation, sexual harassment or assault, or retaliation. Accordingly, you agree that you will not disclose to others the existence or terms of this Agreement, except that you may disclose such information to Government Agencies or to your spouse, attorney, or tax adviser if such individuals agree that they will not disclose to others the existence or terms of this Agreement, to the extent allowed under the law. This Agreement does not prevent or restrict the disclosure of factual information related to any claim filed in a civil action or a complaint filed in an administrative action regarding an act of sexual assault, an act of sexual harassment, an act of workplace harassment or discrimination, failure to prevent an act of workplace harassment or discrimination, or an act of retaliation against a person for reporting or opposing harassment or discrimination.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14.</w:t>
      </w:r>
      <w:r>
        <w:rPr>
          <w:rFonts w:ascii="Times New Roman;sans-serif" w:hAnsi="Times New Roman;sans-serif"/>
          <w:b/>
          <w:color w:val="000000"/>
          <w:sz w:val="22"/>
        </w:rPr>
        <w:t xml:space="preserve">No Disparagement. </w:t>
      </w:r>
      <w:r>
        <w:rPr>
          <w:rFonts w:ascii="Times New Roman;sans-serif" w:hAnsi="Times New Roman;sans-serif"/>
          <w:b w:val="false"/>
          <w:color w:val="000000"/>
          <w:sz w:val="22"/>
        </w:rPr>
        <w:t>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Agreement prevents you from discussing or disclosing information about unlawful acts in the workplace, such as harassment or discrimination or any other conduct that you have reason to believe is unlawful. Nothing in this section or in this Agreement shall prohibit you from providing truthful information in response to a subpoena, court order, written request from an administrative agency or legislature, or other law or legal process.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15.</w:t>
      </w:r>
      <w:r>
        <w:rPr>
          <w:rFonts w:ascii="Times New Roman;sans-serif" w:hAnsi="Times New Roman;sans-serif"/>
          <w:b/>
          <w:color w:val="000000"/>
          <w:sz w:val="22"/>
        </w:rPr>
        <w:t xml:space="preserve">Severability. </w:t>
      </w:r>
      <w:r>
        <w:rPr>
          <w:rFonts w:ascii="Times New Roman;sans-serif" w:hAnsi="Times New Roman;sans-serif"/>
          <w:b w:val="false"/>
          <w:color w:val="000000"/>
          <w:sz w:val="22"/>
        </w:rPr>
        <w:t>If any term of this Agreement is held to be invalid, void or unenforceable, the remainder of this Agreement will remain in full force and effect and will in no way be affected, and the parties will use their best efforts to find an alternate way to achieve the same result.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16.</w:t>
      </w:r>
      <w:r>
        <w:rPr>
          <w:rFonts w:ascii="Times New Roman;sans-serif" w:hAnsi="Times New Roman;sans-serif"/>
          <w:b/>
          <w:color w:val="000000"/>
          <w:sz w:val="22"/>
        </w:rPr>
        <w:t xml:space="preserve">Choice of Law. </w:t>
      </w:r>
      <w:r>
        <w:rPr>
          <w:rFonts w:ascii="Times New Roman;sans-serif" w:hAnsi="Times New Roman;sans-serif"/>
          <w:b w:val="false"/>
          <w:color w:val="000000"/>
          <w:sz w:val="22"/>
        </w:rPr>
        <w:t>This Agreement will be construed and interpreted in accordance with the laws of the State of California (other than their choice-of-law provisions).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17.</w:t>
      </w:r>
      <w:r>
        <w:rPr>
          <w:rFonts w:ascii="Times New Roman;sans-serif" w:hAnsi="Times New Roman;sans-serif"/>
          <w:b/>
          <w:color w:val="000000"/>
          <w:sz w:val="22"/>
        </w:rPr>
        <w:t>Miscellaneous</w:t>
      </w:r>
      <w:r>
        <w:rPr>
          <w:rFonts w:ascii="Times New Roman;sans-serif" w:hAnsi="Times New Roman;sans-serif"/>
          <w:b w:val="false"/>
          <w:color w:val="000000"/>
          <w:sz w:val="22"/>
        </w:rPr>
        <w:t>. This Agreement, together with Exhibits,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This Agreement may be executed in counterparts, each of which will be considered an original, but all of which together will constitute one agreement. Execution of a facsimile copy or PDF will have the same force and effect as execution of an original, and a facsimile signature or PDF signature will be deemed an original and valid signature.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If this Agreement is acceptable to you, please sign and date the appropriate area below, electronically, and return the signed agreement via DocuSign on or before the 21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day after your receipt of this Agreement. The Company’s offer contained herein will automatically expire if we do not receive the fully signed Agreement within this timeframe.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wish you the best in your future endeavors.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John Coghlan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Chairman of the Board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ACCEPTED AND AGREED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br/>
        <w:t>I agree to the terms of this Agreement, and I am voluntarily signing this release of all claims. I acknowledge that I have read and understand this Agreement, and I understand that I cannot pursue any of the claims and rights that I have waived in this Agreement at any time in the future.</w:t>
      </w:r>
    </w:p>
    <w:p>
      <w:pPr>
        <w:pStyle w:val="TextBody"/>
        <w:bidi w:val="0"/>
        <w:spacing w:before="0" w:after="0"/>
        <w:jc w:val="left"/>
        <w:rPr/>
      </w:pPr>
      <w:r>
        <w:rPr/>
      </w:r>
    </w:p>
    <w:tbl>
      <w:tblPr>
        <w:tblW w:w="4437" w:type="dxa"/>
        <w:jc w:val="left"/>
        <w:tblInd w:w="0" w:type="dxa"/>
        <w:tblLayout w:type="fixed"/>
        <w:tblCellMar>
          <w:top w:w="28" w:type="dxa"/>
          <w:left w:w="28" w:type="dxa"/>
          <w:bottom w:w="28" w:type="dxa"/>
          <w:right w:w="28" w:type="dxa"/>
        </w:tblCellMar>
      </w:tblPr>
      <w:tblGrid>
        <w:gridCol w:w="266"/>
        <w:gridCol w:w="234"/>
        <w:gridCol w:w="235"/>
        <w:gridCol w:w="579"/>
        <w:gridCol w:w="579"/>
        <w:gridCol w:w="581"/>
        <w:gridCol w:w="144"/>
        <w:gridCol w:w="144"/>
        <w:gridCol w:w="146"/>
        <w:gridCol w:w="447"/>
        <w:gridCol w:w="447"/>
        <w:gridCol w:w="63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January 18, 2023</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CJ Prober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Charles Prober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Consulting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Consulting Agreement (“Agreement”) is entered into as of [_____] (“Effective Date”) by and between Life360, Inc., a Delaware corporation (“Life360”), and Charles J. Prober (“Consultant”). Life360 desires to retain Consultant as an independent contractor to perform consulting services for Life360, and Consultant is willing to perform such services, on the terms described below. In consideration of the mutual promises contained herein, the parties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rPr>
        <w:t xml:space="preserve">Services and Compensation. </w:t>
      </w:r>
      <w:r>
        <w:rPr>
          <w:rFonts w:ascii="Times New Roman;sans-serif" w:hAnsi="Times New Roman;sans-serif"/>
          <w:b w:val="false"/>
          <w:color w:val="000000"/>
          <w:sz w:val="22"/>
        </w:rPr>
        <w:t>Consultant agrees to perform the services described in Exhibit A (the “Services”), and Life360 agrees to pay Consultant the compensation described in Exhibit A for Consultant’s performance of the Services.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rPr>
        <w:t xml:space="preserve">Confidentiality. </w:t>
      </w:r>
      <w:r>
        <w:rPr>
          <w:rFonts w:ascii="Times New Roman;sans-serif" w:hAnsi="Times New Roman;sans-serif"/>
          <w:b w:val="false"/>
          <w:color w:val="000000"/>
          <w:sz w:val="22"/>
        </w:rPr>
        <w:t>During the course of performing the Services, Consultant may have access to, or Life360 may provide to Consultant, certain non-public or proprietary information relating to Life360’s business or the business of Life360’s affiliate(s) ("Confidential Information"). Confidential Information includes, but is not limited to, the existence and terms of this Agreement. Consultant will: (a) keep confidential all Confidential Information; (b) not make available or in any other manner disclose the Confidential Information to any third-party without Life360’s prior written consent, (c) take action and cause Consultant’s agents and all other persons or entities to whom Consultant discloses any Confidential Information to take action, as is reasonably necessary to preserve and protect the confidentiality of the Confidential Information; and (d) not use the Confidential Information for any purpose other than to perform the Services. Such confidentiality obligations will survive the expiration, termination, or cancellation of this Agreement for a period of two (2) years afterwards (or, with respect to trade secrets, until such trade secrets are no longer protected as such under applicable laws). However, Consultant may disclose Confidential Information to its agents subject to confidentiality obligations no less restrictive than those in this Agreement.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3.Ownership.</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 xml:space="preserve">Assignment. </w:t>
      </w:r>
      <w:r>
        <w:rPr>
          <w:rFonts w:ascii="Times New Roman;sans-serif" w:hAnsi="Times New Roman;sans-serif"/>
          <w:b w:val="false"/>
          <w:color w:val="000000"/>
          <w:sz w:val="22"/>
        </w:rPr>
        <w:t>Consultant agrees that all copyrightable material, notes, designs, inventions, improvements, developments and trade secrets conceived or developed by Consultant, solely or in collaboration with others, including any and all intellectual property and publicity rights (i.e., to name, photograph, social media handle, image, likeness (including caricature), biographical information, voice, appearance, and the image of property) therein, during the term of this Agreement that relate in any manner to the business of Life360 (collectively, “Inventions”), are the sole property of Life360. Consultant will assign (or cause to be assigned) and hereby assigns to Life360 all right, title and interest in Inventions and all intellectual property rights relating to all Inventions. If Consultant has any rights to the Inventions that cannot be assigned to Life360, Consultant hereby unconditionally and irrevocably assigns the enforcement of such rights to Life360 and grants Life360, its affiliates, subcontractors, agents and assignees, an exclusive (even as to Consultant), irrevocable, perpetual, worldwide, fully paid up, royalty-free license to (with the right to transfer and sublicense) such Inventions. Consultant irrevocably appoints Life360 as its attorney-in-fact to verify and execute documents and to do all other lawfully permitted acts to effectuate Consultant’s assignment of intellectual property rights in and to the Inventions as required by this Section. Consultant will obtain from third parties any agreements necessary to comply with this Section.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 xml:space="preserve">Further Assurances. </w:t>
      </w:r>
      <w:r>
        <w:rPr>
          <w:rFonts w:ascii="Times New Roman;sans-serif" w:hAnsi="Times New Roman;sans-serif"/>
          <w:b w:val="false"/>
          <w:color w:val="000000"/>
          <w:sz w:val="22"/>
        </w:rPr>
        <w:t>Consultant agrees to assist Life360, or its designee, at Life360’s expense, in every proper way to secure Life360’s rights in Inventions and all intellectual property rights relating to all Inventions in any and all countries, including the disclosure to Life360 of all pertinent information and data with respect to all Inventions, the execution of all applications, specifications, oaths, assignments and all other instruments that Life360 may deem necessary in order to apply for and obtain such rights and in order to assign and convey to Life360, its successors, assigns and nominees the sole and exclusive right, title and interest in and to all Inventions, and all intellectual property rights relating to all Inventions. Consultant also agrees that Consultant’s obligation to execute or cause to be executed any such instrument or papers shall continue after the termination of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i/>
          <w:color w:val="000000"/>
          <w:sz w:val="22"/>
        </w:rPr>
        <w:t xml:space="preserve">Pre-Existing Materials. </w:t>
      </w:r>
      <w:r>
        <w:rPr>
          <w:rFonts w:ascii="Times New Roman;sans-serif" w:hAnsi="Times New Roman;sans-serif"/>
          <w:b w:val="false"/>
          <w:color w:val="000000"/>
          <w:sz w:val="22"/>
        </w:rPr>
        <w:t>Consultant will not incorporate into or provide in conjunction with any Invention, or create any Invention with a dependency upon any proprietary methodologies, tools, models, software, documentation, know-how, trade secrets, inventions, or works of authorship conceived or developed independently by Consultant or a third party excluding the Inventions and without the use of any Life360 Confidential Information, or any intellectual property owned or licensed to or by Life360 (collectively, “Pre-Existing Materials”) without strictly complying with all of the conditions described in this Section. If Consultant incorporates into or provides in conjunction with any Invention, or creates any Invention with a dependency upon any Pre-Existing Materials, then Consultant hereby grants, at Consultant’s sole cost and expense, Life360 (including its contractors, affiliates, and agents) a nonexclusive, royalty-free, fully paid up, irrevocable, worldwide, perpetual license (with the right to transfer and sublicense) to make, have made, sell, offer for sale, use, execute, reproduce, modify, adapt, display, perform, distribute, make derivative works of, import, export, and disclose the Pre-Existing Materials in connection with the Inventions and to permit others to do any of the foregoing. Life360 is, and shall remain, the sole and exclusive owner of all right, title and interest in and to all materials, names, trademarks, logos, photographs, video, products, and other content it provides to Consultant and all derivative works thereof (collectively, “Life360 Materials”). Consultant may only use such Life360 Materials as set forth in Exhibit A or with Life360’s prior written approval and shall promptly return such Life360 Materials to Life360 and cease use of such Life360 Materials upon termination or expiration of this Agreement or upon Life360’s earlier request. In order to preserve the inherent value of Life360 Materials, Consultant agrees to use the Life360 Materials in a manner that maintains the quality of Life360 Materials and further agrees that all Services Consultant provides using Life360 Materials shall be of the high quality and display the high standards that Life360 has duly established in providing its own services. Life360 hereby reserves all rights not expressly granted herein.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rPr>
        <w:t xml:space="preserve">Obligations. </w:t>
      </w:r>
      <w:r>
        <w:rPr>
          <w:rFonts w:ascii="Times New Roman;sans-serif" w:hAnsi="Times New Roman;sans-serif"/>
          <w:b w:val="false"/>
          <w:color w:val="000000"/>
          <w:sz w:val="22"/>
        </w:rPr>
        <w:t xml:space="preserve">Consultant certifies that Consultant has no outstanding agreement or obligation that is in conflict with any of the provisions of this Agreement or that would preclude Consultant from complying with the provisions of this Agreement. Consultant will not enter into any such conflicting agreement during the term of this Agreement. Consultant will perform the Services in compliance with all applicable laws and consumer disclosure requirements under federal, state and local laws, statutes, ordinances, rules, regulations, guidance and orders, including without limitation the U.S. Federal Trade Commission Guidelines Regarding Endorsements available on </w:t>
      </w:r>
      <w:r>
        <w:rPr>
          <w:rFonts w:ascii="Times New Roman;sans-serif" w:hAnsi="Times New Roman;sans-serif"/>
          <w:b w:val="false"/>
          <w:color w:val="0000FF"/>
          <w:sz w:val="22"/>
        </w:rPr>
        <w:t>www.ftc.gov.</w:t>
      </w:r>
      <w:r>
        <w:rPr>
          <w:color w:val="000000"/>
        </w:rPr>
        <w:t xml:space="preserve"> </w:t>
      </w:r>
      <w:r>
        <w:rPr>
          <w:rFonts w:ascii="Times New Roman;sans-serif" w:hAnsi="Times New Roman;sans-serif"/>
          <w:b w:val="false"/>
          <w:color w:val="000000"/>
          <w:sz w:val="22"/>
        </w:rPr>
        <w:t>Consultant’s violation of this Section 4 will be considered a material breach under Section 6.B.</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rPr>
        <w:t xml:space="preserve">Reports. </w:t>
      </w:r>
      <w:r>
        <w:rPr>
          <w:rFonts w:ascii="Times New Roman;sans-serif" w:hAnsi="Times New Roman;sans-serif"/>
          <w:b w:val="false"/>
          <w:color w:val="000000"/>
          <w:sz w:val="22"/>
        </w:rPr>
        <w:t>Consultant also agrees that Consultant will, from time to time during the term of this Agreement or any extension thereof, keep Life360 advised as to Consultant’s progress in performing the Services under this Agreement.</w:t>
      </w:r>
    </w:p>
    <w:p>
      <w:pPr>
        <w:pStyle w:val="TextBody"/>
        <w:bidi w:val="0"/>
        <w:spacing w:before="0" w:after="0"/>
        <w:jc w:val="both"/>
        <w:rPr/>
      </w:pPr>
      <w:r>
        <w:rPr/>
      </w:r>
    </w:p>
    <w:p>
      <w:pPr>
        <w:pStyle w:val="TextBody"/>
        <w:bidi w:val="0"/>
        <w:spacing w:lineRule="auto" w:line="28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6.Term and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 xml:space="preserve">Term. </w:t>
      </w:r>
      <w:r>
        <w:rPr>
          <w:rFonts w:ascii="Times New Roman;sans-serif" w:hAnsi="Times New Roman;sans-serif"/>
          <w:b w:val="false"/>
          <w:color w:val="000000"/>
          <w:sz w:val="22"/>
        </w:rPr>
        <w:t xml:space="preserve">The term of this Agreement will begin on the date of this Agreement and will continue until the earlier of (i) July 6, 2024 or (ii) the termination of this Agreement as provided for in </w:t>
      </w:r>
      <w:r>
        <w:rPr>
          <w:rFonts w:ascii="Times New Roman;sans-serif" w:hAnsi="Times New Roman;sans-serif"/>
          <w:b/>
          <w:color w:val="000000"/>
          <w:sz w:val="22"/>
        </w:rPr>
        <w:t>Section 6.B</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 xml:space="preserve">Termination. </w:t>
      </w:r>
      <w:r>
        <w:rPr>
          <w:rFonts w:ascii="Times New Roman;sans-serif" w:hAnsi="Times New Roman;sans-serif"/>
          <w:b w:val="false"/>
          <w:color w:val="000000"/>
          <w:sz w:val="22"/>
        </w:rPr>
        <w:t>Consultant may terminate this Agreement upon giving the Life360 seven (7) days’ prior written notice of such termination. Life360 may only terminate this Agreement upon giving the Consultant seven (7) days’ prior written notice and only if (a) either Consultant refuses to or is unable to perform the Services or is in breach of any material provision of this Agreement and (b) such non-performance or breach is uncured during the seven day notice period.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 xml:space="preserve">Survival. </w:t>
      </w:r>
      <w:r>
        <w:rPr>
          <w:rFonts w:ascii="Times New Roman;sans-serif" w:hAnsi="Times New Roman;sans-serif"/>
          <w:b w:val="false"/>
          <w:color w:val="000000"/>
          <w:sz w:val="22"/>
        </w:rPr>
        <w:t>Upon such termination, all rights and duties of Life360 and Consultant toward each other shall cease except:</w:t>
      </w:r>
    </w:p>
    <w:p>
      <w:pPr>
        <w:pStyle w:val="TextBody"/>
        <w:bidi w:val="0"/>
        <w:spacing w:before="0" w:after="0"/>
        <w:jc w:val="both"/>
        <w:rPr/>
      </w:pPr>
      <w:r>
        <w:rPr/>
      </w:r>
    </w:p>
    <w:p>
      <w:pPr>
        <w:pStyle w:val="TextBody"/>
        <w:bidi w:val="0"/>
        <w:spacing w:lineRule="auto" w:line="288" w:before="0" w:after="0"/>
        <w:ind w:left="0" w:right="0" w:hanging="476"/>
        <w:jc w:val="both"/>
        <w:rPr>
          <w:rFonts w:ascii="Times New Roman;sans-serif" w:hAnsi="Times New Roman;sans-serif"/>
          <w:b w:val="false"/>
          <w:color w:val="000000"/>
          <w:sz w:val="22"/>
        </w:rPr>
      </w:pPr>
      <w:r>
        <w:rPr>
          <w:rFonts w:ascii="Times New Roman;sans-serif" w:hAnsi="Times New Roman;sans-serif"/>
          <w:b w:val="false"/>
          <w:color w:val="000000"/>
          <w:sz w:val="22"/>
        </w:rPr>
        <w:t>i.Life360 will pay, within thirty (30) days after the effective date of termination, all amounts owing to Consultant for Services completed and accepted by Life360 prior to the termination date and related expenses, if any, submitted in accordance with Life360’s policies and in accordance with the provisions of Section 1 of this Agreement; and</w:t>
      </w:r>
    </w:p>
    <w:p>
      <w:pPr>
        <w:pStyle w:val="TextBody"/>
        <w:bidi w:val="0"/>
        <w:spacing w:before="0" w:after="0"/>
        <w:jc w:val="both"/>
        <w:rPr/>
      </w:pPr>
      <w:r>
        <w:rPr/>
      </w:r>
    </w:p>
    <w:p>
      <w:pPr>
        <w:pStyle w:val="TextBody"/>
        <w:bidi w:val="0"/>
        <w:spacing w:lineRule="auto" w:line="288" w:before="0" w:after="0"/>
        <w:ind w:left="0" w:right="0" w:hanging="537"/>
        <w:jc w:val="both"/>
        <w:rPr>
          <w:rFonts w:ascii="Times New Roman;sans-serif" w:hAnsi="Times New Roman;sans-serif"/>
          <w:b w:val="false"/>
          <w:color w:val="000000"/>
          <w:sz w:val="22"/>
        </w:rPr>
      </w:pPr>
      <w:r>
        <w:rPr>
          <w:rFonts w:ascii="Times New Roman;sans-serif" w:hAnsi="Times New Roman;sans-serif"/>
          <w:b w:val="false"/>
          <w:color w:val="000000"/>
          <w:sz w:val="22"/>
        </w:rPr>
        <w:t>ii.Section 2 (Confidentiality), Section 3 (Ownership), Section 4 (Obligations), Section 7 (Independent Contractor; Benefits), Section 8 (Indemnification), and Section 9 (Miscellaneous) will survive termination of this Agreement.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7.Independent Contractor; Benefits.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Independent Contractor</w:t>
      </w:r>
      <w:r>
        <w:rPr>
          <w:rFonts w:ascii="Times New Roman;sans-serif" w:hAnsi="Times New Roman;sans-serif"/>
          <w:b w:val="false"/>
          <w:color w:val="000000"/>
          <w:sz w:val="22"/>
        </w:rPr>
        <w:t>. It is the express intention of Life360 and Consultant that Consultant performs the Services as an independent contractor to Life360. Nothing in this Agreement shall in any way be construed to constitute Consultant as an agent, employee or representative of Life360. Without limiting the generality of the foregoing, Consultant is not authorized to bind Life360 to any liability or obligation or to represent that Consultant has any such authority. Consultant agrees to furnish (or reimburse Life360 for) all tools and materials necessary to accomplish this Agreement and shall incur all expenses associated with performance, except as expressly provided in Exhibit A. Consultant acknowledges and agrees that Consultant is obligated to report as income all compensation received by Consultant pursuant to this Agreement. Consultant agrees to and acknowledges the obligation to pay all self-employment and other taxes on such income.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 xml:space="preserve">Benefits. </w:t>
      </w:r>
      <w:r>
        <w:rPr>
          <w:rFonts w:ascii="Times New Roman;sans-serif" w:hAnsi="Times New Roman;sans-serif"/>
          <w:b w:val="false"/>
          <w:color w:val="000000"/>
          <w:sz w:val="22"/>
        </w:rPr>
        <w:t>Life360 and Consultant agree that Consultant will receive no Life360-sponsored benefits from Life360. If Consultant is reclassified by a state or federal agency or court as Life360’s employee, Consultant will become a reclassified employee and will receive no benefits from Life360, except those mandated by state or federal law, even if by the terms of Life360’s benefit plans or programs of Life360 in effect at the time of such reclassification, Consultant would otherwise be eligible for such benefits.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rPr>
        <w:t xml:space="preserve">Indemnification. </w:t>
      </w:r>
      <w:r>
        <w:rPr>
          <w:rFonts w:ascii="Times New Roman;sans-serif" w:hAnsi="Times New Roman;sans-serif"/>
          <w:b w:val="false"/>
          <w:color w:val="000000"/>
          <w:sz w:val="22"/>
        </w:rPr>
        <w:t>Consultant agrees to indemnify and hold harmless Life360 and its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or Consultant’s assistants, employees or agents, (ii) any breach by the Consultant or Consultant’s assistants, employees or agents of any of the covenants contained in this Agreement, (iii) any failure of Consultant to perform the Services in accordance with all applicable laws, rules and regulations, or (iv) any violation or claimed violation of a third party’s rights resulting in whole or in part from Life360’s use of the work product of Consultant under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rPr>
        <w:t>Nonsolicitation</w:t>
      </w:r>
      <w:r>
        <w:rPr>
          <w:rFonts w:ascii="Times New Roman;sans-serif" w:hAnsi="Times New Roman;sans-serif"/>
          <w:b w:val="false"/>
          <w:color w:val="000000"/>
          <w:sz w:val="22"/>
        </w:rPr>
        <w:t>. From the date of this Agreement until 12 months after the termination of this Agreement (the “</w:t>
      </w:r>
      <w:r>
        <w:rPr>
          <w:rFonts w:ascii="Times New Roman;sans-serif" w:hAnsi="Times New Roman;sans-serif"/>
          <w:b/>
          <w:color w:val="000000"/>
          <w:sz w:val="22"/>
        </w:rPr>
        <w:t>Restricted Period</w:t>
      </w:r>
      <w:r>
        <w:rPr>
          <w:color w:val="000000"/>
        </w:rPr>
        <w:t>”</w:t>
      </w:r>
      <w:r>
        <w:rPr>
          <w:rFonts w:ascii="Times New Roman;sans-serif" w:hAnsi="Times New Roman;sans-serif"/>
          <w:b w:val="false"/>
          <w:color w:val="000000"/>
          <w:sz w:val="22"/>
        </w:rPr>
        <w:t>), Consultant will not, without the Company’s prior written consent, directly or indirectly, solicit or encourage any employee or contractor of the Company or its affiliates to terminate employment with, or cease providing services to, the Company or its affiliates. During the Restricted Period, Consultant will not, whether for Consultant’s own account or for the account of any other person, firm, corporation or other business organization, intentionally interfere with any person who is or during the period of Consultant’s engagement by the Company was a partner, supplier, customer or client of the Company or its affiliates.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10.Arbitration and Equitable Relief.</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Arbitration</w:t>
      </w:r>
      <w:r>
        <w:rPr>
          <w:rFonts w:ascii="Times New Roman;sans-serif" w:hAnsi="Times New Roman;sans-serif"/>
          <w:b w:val="false"/>
          <w:color w:val="000000"/>
          <w:sz w:val="22"/>
        </w:rPr>
        <w:t>. Consultant agrees that any and all controversies, claims or disputes with anyone (including the Company and any employee, officer, director, stockholder or benefit plan of the Company, in its capacity as such or otherwise) arising out of, relating to or resulting from Consultant’s performance of the Services under this Agreement or the termination of this Agreement, including any breach of this Agreement, shall be subject to binding arbitration pursuant to the laws of the State of California (the “</w:t>
      </w:r>
      <w:r>
        <w:rPr>
          <w:rFonts w:ascii="Times New Roman;sans-serif" w:hAnsi="Times New Roman;sans-serif"/>
          <w:b/>
          <w:color w:val="000000"/>
          <w:sz w:val="22"/>
        </w:rPr>
        <w:t>Rules</w:t>
      </w:r>
      <w:r>
        <w:rPr>
          <w:color w:val="000000"/>
        </w:rPr>
        <w:t>”</w:t>
      </w:r>
      <w:r>
        <w:rPr>
          <w:rFonts w:ascii="Times New Roman;sans-serif" w:hAnsi="Times New Roman;sans-serif"/>
          <w:b w:val="false"/>
          <w:color w:val="000000"/>
          <w:sz w:val="22"/>
        </w:rPr>
        <w:t xml:space="preserve">). CONSULTANT AGREES TO ARBITRATE, AND THEREBY AGREES TO WAIVE ANY RIGHT TO A TRIAL BY JURY WITH RESPECT TO, ALL DISPUTES ARISING FROM OR RELATED TO THIS AGREEMENT, INCLUDING BUT NOT LIMITED TO: ANY STATUTORY CLAIMS UNDER STATE OR FEDERAL LAW, CLAIMS UNDER TITLE VII OF THE CIVIL RIGHTS ACT OF 1964, THE AMERICANS WITH DISABILITIES ACT OF 1990, THE AGE DISCRIMINATION IN EMPLOYMENT ACT OF 1967, THE OLDER WORKERS BENEFIT PROTECTION ACT, CLAIMS OF HARASSMENT, DISCRIMINATION OR WRONGFUL TERMINATION AND ANY STATUTORY CLAIMS. Consultant understands that this Agreement to arbitrate also applies to any disputes that the Company may have with Consultant. 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 Francisco, California Superior Court) appointed in accordance with California Code of Civil Procedure Section 638 (or pursuant to comparable provisions of federal law if the dispute falls within the exclusive jurisdiction of the federal courts), sitting without a jury, in San Francisco,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seek provisional relief, but a judge has not been appointed at that point pursuant to the judicial reference procedures, then such party may apply to the San Francisco,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the California Code of Civil Procedure §644(a). Nothing in this paragraph shall limit the right of any party at any time to exercise self-help remedies or obtain provisional remedies. The private judge shall also determine all issues relating to the applicability, interpretation, and enforceability of this section.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Procedure</w:t>
      </w:r>
      <w:r>
        <w:rPr>
          <w:rFonts w:ascii="Times New Roman;sans-serif" w:hAnsi="Times New Roman;sans-serif"/>
          <w:b/>
          <w:color w:val="000000"/>
          <w:sz w:val="22"/>
        </w:rPr>
        <w:t xml:space="preserve">. </w:t>
      </w:r>
      <w:r>
        <w:rPr>
          <w:rFonts w:ascii="Times New Roman;sans-serif" w:hAnsi="Times New Roman;sans-serif"/>
          <w:b w:val="false"/>
          <w:color w:val="000000"/>
          <w:sz w:val="22"/>
        </w:rPr>
        <w:t>Consultant agrees that any arbitration will be administered by the American Arbitration Association (“</w:t>
      </w:r>
      <w:r>
        <w:rPr>
          <w:rFonts w:ascii="Times New Roman;sans-serif" w:hAnsi="Times New Roman;sans-serif"/>
          <w:b/>
          <w:color w:val="000000"/>
          <w:sz w:val="22"/>
        </w:rPr>
        <w:t>AAA</w:t>
      </w:r>
      <w:r>
        <w:rPr>
          <w:color w:val="000000"/>
        </w:rPr>
        <w:t>”</w:t>
      </w:r>
      <w:r>
        <w:rPr>
          <w:rFonts w:ascii="Times New Roman;sans-serif" w:hAnsi="Times New Roman;sans-serif"/>
          <w:b w:val="false"/>
          <w:color w:val="000000"/>
          <w:sz w:val="22"/>
        </w:rPr>
        <w:t>), and that a neutral arbitrator will be selected in a manner consistent with its National Rules for the Resolution of Employment Disputes. Consultant agrees that the arbitrator will have the power to decide any motions brought by any party to the arbitration, including discovery motions, motions for summary judgment and/or adjudication and motions to dismiss and demurrers, prior to any arbitration hearing. Consultant agrees that the arbitrator will issue a written decision on the merits. Consultant also agrees that the arbitrator will have the power to award any remedies, including attorneys’ fees and costs, available under applicable law. Consultant understands that the Company will pay for any administrative or hearing fees charged by the arbitrator or AAA, except that Consultant shall pay the first $200.00 of any filing fees associated with any arbitration Consultant initiates. Consultant agrees that the arbitrator will administer and conduct any arbitration in a manner consistent with the Rules and that, to the extent that the AAA’s National Rules for the Resolution of Employment Disputes conflict with the Rules, the Rules will take precedence.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i/>
          <w:color w:val="000000"/>
          <w:sz w:val="22"/>
        </w:rPr>
        <w:t>Remedy</w:t>
      </w:r>
      <w:r>
        <w:rPr>
          <w:rFonts w:ascii="Times New Roman;sans-serif" w:hAnsi="Times New Roman;sans-serif"/>
          <w:b/>
          <w:color w:val="000000"/>
          <w:sz w:val="22"/>
        </w:rPr>
        <w:t xml:space="preserve">. </w:t>
      </w:r>
      <w:r>
        <w:rPr>
          <w:rFonts w:ascii="Times New Roman;sans-serif" w:hAnsi="Times New Roman;sans-serif"/>
          <w:b w:val="false"/>
          <w:color w:val="000000"/>
          <w:sz w:val="22"/>
        </w:rPr>
        <w:t>Except as provided by the Rules, arbitration will be the sole, exclusive and final remedy for any dispute between the Company and Consultant. Accordingly, except as provided for by the Rules, neither the Company nor Consultant will be permitted to pursue court action regarding claims that are subject to arbitration. Notwithstanding the foregoing, the arbitrator will not have the authority to disregard or refuse to enforce any lawful Company policy, and the arbitrator shall not order or require the Company to adopt a policy not otherwise required by law that the Company has not adopted.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i/>
          <w:color w:val="000000"/>
          <w:sz w:val="22"/>
        </w:rPr>
        <w:t>Availability of Injunctive Relief</w:t>
      </w:r>
      <w:r>
        <w:rPr>
          <w:rFonts w:ascii="Times New Roman;sans-serif" w:hAnsi="Times New Roman;sans-serif"/>
          <w:b/>
          <w:color w:val="000000"/>
          <w:sz w:val="22"/>
        </w:rPr>
        <w:t xml:space="preserve">. </w:t>
      </w:r>
      <w:r>
        <w:rPr>
          <w:rFonts w:ascii="Times New Roman;sans-serif" w:hAnsi="Times New Roman;sans-serif"/>
          <w:b w:val="false"/>
          <w:color w:val="000000"/>
          <w:sz w:val="22"/>
        </w:rPr>
        <w:t>In addition to the right under the Rules to petition the court for provisional relief, Consultant agrees that any party may also petition the court for injunctive relief where either party alleges or claims a violation of Sections 2 (Confidentiality), 3 (Ownership), 4 (Conflicting Obligations) or 9 (Nonsolicitation) of this Agreement or any other agreement regarding trade secrets, confidential information, nonsolicitation or the assignment of intellectual property by Consultant pursuant to this Agreement. In the event either the Company or Consultant seeks injunctive relief, the prevailing party will be entitled to recover reasonable costs and attorneys’ fees.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i/>
          <w:color w:val="000000"/>
          <w:sz w:val="22"/>
        </w:rPr>
        <w:t>Administrative Relief</w:t>
      </w:r>
      <w:r>
        <w:rPr>
          <w:rFonts w:ascii="Times New Roman;sans-serif" w:hAnsi="Times New Roman;sans-serif"/>
          <w:b/>
          <w:color w:val="000000"/>
          <w:sz w:val="22"/>
        </w:rPr>
        <w:t xml:space="preserve">. </w:t>
      </w:r>
      <w:r>
        <w:rPr>
          <w:rFonts w:ascii="Times New Roman;sans-serif" w:hAnsi="Times New Roman;sans-serif"/>
          <w:b w:val="false"/>
          <w:color w:val="000000"/>
          <w:sz w:val="22"/>
        </w:rPr>
        <w:t>Consultant understands that this Agreement does not prohibit Consultant from pursuing an administrative claim with a local, state or federal administrative body such as the Department of Fair Employment and Housing, the Equal Employment Opportunity Commission or the workers’ compensation board. This Agreement does, however, preclude Consultant from pursuing court action regarding any such claim.</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i/>
          <w:color w:val="000000"/>
          <w:sz w:val="22"/>
        </w:rPr>
        <w:t>Voluntary Nature of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Consultant acknowledges and agrees that Consultant is executing this Agreement voluntarily and without any duress or undue influence by the Company or anyone else. Consultant further acknowledges and agrees that Consultant has carefully read this Agreement and has asked any questions needed to understand the terms, consequences and binding effect of this Agreement and fully understand it, including that Consultant is waiving its right to a jury trial. Finally, Consultant agrees that Consultant has been provided an opportunity to seek the advice of an attorney of its choice before signing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i/>
          <w:color w:val="000000"/>
          <w:sz w:val="22"/>
        </w:rPr>
        <w:t xml:space="preserve">Covenant of Consultant. </w:t>
      </w:r>
      <w:r>
        <w:rPr>
          <w:rFonts w:ascii="Times New Roman;sans-serif" w:hAnsi="Times New Roman;sans-serif"/>
          <w:b w:val="false"/>
          <w:color w:val="000000"/>
          <w:sz w:val="22"/>
        </w:rPr>
        <w:t>Consultant covenants that it shall have all employees of, or other parties retained by, Consultant to assist with the performance of the Services enter into agreements or otherwise be bound by provisions substantially similar to those set forth in this Agreement, including, but not limited to, those provisions set forth in Sections 2, 3, 4, 7, 8, 9, 10, and 12 which agreements or provisions shall be for the benefit of the Company.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12.Miscellaneous.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Governing Law</w:t>
      </w:r>
      <w:r>
        <w:rPr>
          <w:rFonts w:ascii="Times New Roman;sans-serif" w:hAnsi="Times New Roman;sans-serif"/>
          <w:b w:val="false"/>
          <w:color w:val="000000"/>
          <w:sz w:val="22"/>
        </w:rPr>
        <w:t>; Dispute Resolution. This Agreement and all disputes arising in connection with it will be governed by the law of the State of California, without reference to its conflicts of law doctrine. Subject to the following arbitration requirements, the parties hereby agree that all litigation arising out of this Agreement shall be subject to the exclusive jurisdiction of and venue in the federal and state courts within San Francisco County, California. Consultant hereby consents to the personal and exclusive jurisdiction and venue of these courts. For any dispute in connection with this Agreement, the parties agree to first attempt to mutually resolve the dispute informally via negotiation. If the dispute has not been resolved after thirty (30) days, the parties agree to resolve any claim, dispute, or controversy (excluding any claims for injunctive or other equitable relief as provided below) arising out of or in connection with or relating to this Agreement, or the breach or alleged breach, by binding arbitration by JAMS, under the Optional Expedited Arbitration Procedures then in effect for JAMS, except as provided herein. The arbitration will be conducted in San Francisco County, California, unless otherwise agreed. Each party will be responsible for paying any JAMS filing, administrative and arbitrator fees in accordance with JAMS rules, and the award rendered by the arbitrator may include costs of arbitration, reasonable attorneys’ fees and reasonable costs for expert and other witnesses. Any judgment on the award rendered by the arbitrator may be entered in any court of competent jurisdiction. Nothing in this Section shall be deemed as preventing Life360 from seeking injunctive or other equitable relief from the courts as necessary to prevent the actual or threatened infringement, misappropriation, or violation of its data security, intellectual property rights or other proprietary rights.</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 xml:space="preserve">Voluntary Nature of Agreement. </w:t>
      </w:r>
      <w:r>
        <w:rPr>
          <w:rFonts w:ascii="Times New Roman;sans-serif" w:hAnsi="Times New Roman;sans-serif"/>
          <w:b w:val="false"/>
          <w:color w:val="000000"/>
          <w:sz w:val="22"/>
        </w:rPr>
        <w:t>Consultant acknowledges and agrees that Consultant is executing this Agreement voluntarily and without any duress or undue influence by Life360 or anyone else. Consultant further acknowledges and agrees that Consultant has carefully read this Agreement and has asked any questions needed to understand the terms, consequences and binding effect of this Agreement and fully understand it, including that Consultant is waiving its right to a jury trial. Finally, Consultant agrees that Consultant has been provided an opportunity to seek the advice of an attorney of its choice before signing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i/>
          <w:color w:val="000000"/>
          <w:sz w:val="22"/>
        </w:rPr>
        <w:t xml:space="preserve">Assignability. </w:t>
      </w:r>
      <w:r>
        <w:rPr>
          <w:rFonts w:ascii="Times New Roman;sans-serif" w:hAnsi="Times New Roman;sans-serif"/>
          <w:b w:val="false"/>
          <w:color w:val="000000"/>
          <w:sz w:val="22"/>
        </w:rPr>
        <w:t>Except as otherwise provided in this Agreement, Consultant may not sell, assign or delegate any rights or obligations under this Agreement. Life360 may assign the Agreement without restriction. This Agreement shall be binding upon and inure to the benefit of the parties hereto and their respective permitted successors and assigns. Any non-permitted assignment will be void and have no effect.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i/>
          <w:color w:val="000000"/>
          <w:sz w:val="22"/>
        </w:rPr>
        <w:t xml:space="preserve">Entire Agreement. </w:t>
      </w:r>
      <w:r>
        <w:rPr>
          <w:rFonts w:ascii="Times New Roman;sans-serif" w:hAnsi="Times New Roman;sans-serif"/>
          <w:b w:val="false"/>
          <w:color w:val="000000"/>
          <w:sz w:val="22"/>
        </w:rPr>
        <w:t>This Agreement constitutes the entire agreement between the parties with respect to the subject matter of this Agreement and supersedes all prior written and oral agreements between the parties regarding the subject matter of this Agreement. If any provision of this Agreement is found to be illegal or unenforceable, the other provisions shall remain effective and enforceable to the greatest extent permitted by law. Headings are used in this Agreement for reference only and shall not be considered when interpreting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i/>
          <w:color w:val="000000"/>
          <w:sz w:val="22"/>
        </w:rPr>
        <w:t xml:space="preserve">Notices. </w:t>
      </w:r>
      <w:r>
        <w:rPr>
          <w:rFonts w:ascii="Times New Roman;sans-serif" w:hAnsi="Times New Roman;sans-serif"/>
          <w:b w:val="false"/>
          <w:color w:val="000000"/>
          <w:sz w:val="22"/>
        </w:rPr>
        <w:t>Any notice or other communication required or permitted by this Agreement to be given to a party shall be in writing and shall be deemed given if delivered personally or by commercial messenger or courier service, or mailed by U.S. registered or certified mail (return receipt requested), or sent via email (with receipt of confirmation of complete transmission) to the party at the party's address or email address written below or at such other address or email address as the party may have previously specified by like notice. If by mail, delivery shall be deemed effective 3 business days after mailing in accordance with this Section.</w:t>
      </w:r>
    </w:p>
    <w:p>
      <w:pPr>
        <w:pStyle w:val="TextBody"/>
        <w:bidi w:val="0"/>
        <w:spacing w:before="0" w:after="0"/>
        <w:jc w:val="both"/>
        <w:rPr/>
      </w:pPr>
      <w:r>
        <w:rPr/>
      </w:r>
    </w:p>
    <w:p>
      <w:pPr>
        <w:pStyle w:val="TextBody"/>
        <w:bidi w:val="0"/>
        <w:spacing w:lineRule="auto" w:line="288" w:before="0" w:after="0"/>
        <w:ind w:left="0" w:right="0" w:hanging="476"/>
        <w:jc w:val="both"/>
        <w:rPr/>
      </w:pPr>
      <w:r>
        <w:rPr>
          <w:rFonts w:ascii="Times New Roman;sans-serif" w:hAnsi="Times New Roman;sans-serif"/>
          <w:b w:val="false"/>
          <w:color w:val="000000"/>
          <w:sz w:val="22"/>
        </w:rPr>
        <w:t xml:space="preserve">i.If to Life360: Life360, Inc.; Attn: HR Department; 539 Bryant St, Suite 402, San Francisco, CA 94107; Email: </w:t>
      </w:r>
      <w:r>
        <w:rPr>
          <w:rFonts w:ascii="Times New Roman;sans-serif" w:hAnsi="Times New Roman;sans-serif"/>
          <w:b w:val="false"/>
          <w:color w:val="67E499"/>
          <w:sz w:val="22"/>
        </w:rPr>
        <w:t>hr@life360.com</w:t>
      </w:r>
      <w:r>
        <w:rPr>
          <w:rFonts w:ascii="Times New Roman;sans-serif" w:hAnsi="Times New Roman;sans-serif"/>
          <w:b w:val="false"/>
          <w:color w:val="0000FF"/>
          <w:sz w:val="22"/>
        </w:rPr>
        <w:t>.</w:t>
      </w:r>
    </w:p>
    <w:p>
      <w:pPr>
        <w:pStyle w:val="TextBody"/>
        <w:bidi w:val="0"/>
        <w:spacing w:before="0" w:after="0"/>
        <w:jc w:val="both"/>
        <w:rPr/>
      </w:pPr>
      <w:r>
        <w:rPr/>
      </w:r>
    </w:p>
    <w:p>
      <w:pPr>
        <w:pStyle w:val="TextBody"/>
        <w:bidi w:val="0"/>
        <w:spacing w:lineRule="auto" w:line="288" w:before="0" w:after="0"/>
        <w:ind w:left="0" w:right="0" w:hanging="537"/>
        <w:jc w:val="both"/>
        <w:rPr>
          <w:rFonts w:ascii="Times New Roman;sans-serif" w:hAnsi="Times New Roman;sans-serif"/>
          <w:b w:val="false"/>
          <w:color w:val="000000"/>
          <w:sz w:val="22"/>
        </w:rPr>
      </w:pPr>
      <w:r>
        <w:rPr>
          <w:rFonts w:ascii="Times New Roman;sans-serif" w:hAnsi="Times New Roman;sans-serif"/>
          <w:b w:val="false"/>
          <w:color w:val="000000"/>
          <w:sz w:val="22"/>
        </w:rPr>
        <w:t>ii.If to Consultant, to the address for notice on the signature page to this Agreement or, if no such address is provided, to the last address of Consultant provided by Consultant to Life360.</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i/>
          <w:color w:val="000000"/>
          <w:sz w:val="22"/>
        </w:rPr>
        <w:t>Attorneys’ Fees</w:t>
      </w:r>
      <w:r>
        <w:rPr>
          <w:rFonts w:ascii="Times New Roman;sans-serif" w:hAnsi="Times New Roman;sans-serif"/>
          <w:b w:val="false"/>
          <w:color w:val="000000"/>
          <w:sz w:val="22"/>
        </w:rPr>
        <w:t>.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g.</w:t>
      </w:r>
      <w:r>
        <w:rPr>
          <w:rFonts w:ascii="Times New Roman;sans-serif" w:hAnsi="Times New Roman;sans-serif"/>
          <w:b/>
          <w:i/>
          <w:color w:val="000000"/>
          <w:sz w:val="22"/>
        </w:rPr>
        <w:t>Severability</w:t>
      </w:r>
      <w:r>
        <w:rPr>
          <w:rFonts w:ascii="Times New Roman;sans-serif" w:hAnsi="Times New Roman;sans-serif"/>
          <w:b/>
          <w:color w:val="000000"/>
          <w:sz w:val="22"/>
        </w:rPr>
        <w:t xml:space="preserve">. </w:t>
      </w:r>
      <w:r>
        <w:rPr>
          <w:rFonts w:ascii="Times New Roman;sans-serif" w:hAnsi="Times New Roman;sans-serif"/>
          <w:b w:val="false"/>
          <w:color w:val="000000"/>
          <w:sz w:val="22"/>
        </w:rPr>
        <w:t>If any provision of this Agreement is found to be illegal or unenforceable, the other provisions shall remain effective and enforceable to the greatest extent permitted by law.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IN</w:t>
      </w:r>
      <w:r>
        <w:rPr>
          <w:color w:val="000000"/>
        </w:rPr>
        <w:t xml:space="preserve"> </w:t>
      </w:r>
      <w:r>
        <w:rPr>
          <w:rFonts w:ascii="Times New Roman;sans-serif" w:hAnsi="Times New Roman;sans-serif"/>
          <w:b w:val="false"/>
          <w:color w:val="000000"/>
          <w:sz w:val="22"/>
        </w:rPr>
        <w:t>WITNESS</w:t>
      </w:r>
      <w:r>
        <w:rPr>
          <w:color w:val="000000"/>
        </w:rPr>
        <w:t xml:space="preserve"> </w:t>
      </w:r>
      <w:r>
        <w:rPr>
          <w:rFonts w:ascii="Times New Roman;sans-serif" w:hAnsi="Times New Roman;sans-serif"/>
          <w:b w:val="false"/>
          <w:color w:val="000000"/>
          <w:sz w:val="22"/>
        </w:rPr>
        <w:t>WHEREOF,</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parties</w:t>
      </w:r>
      <w:r>
        <w:rPr>
          <w:color w:val="000000"/>
        </w:rPr>
        <w:t xml:space="preserve"> </w:t>
      </w:r>
      <w:r>
        <w:rPr>
          <w:rFonts w:ascii="Times New Roman;sans-serif" w:hAnsi="Times New Roman;sans-serif"/>
          <w:b w:val="false"/>
          <w:color w:val="000000"/>
          <w:sz w:val="22"/>
        </w:rPr>
        <w:t>hereto</w:t>
      </w:r>
      <w:r>
        <w:rPr>
          <w:color w:val="000000"/>
        </w:rPr>
        <w:t xml:space="preserve"> </w:t>
      </w:r>
      <w:r>
        <w:rPr>
          <w:rFonts w:ascii="Times New Roman;sans-serif" w:hAnsi="Times New Roman;sans-serif"/>
          <w:b w:val="false"/>
          <w:color w:val="000000"/>
          <w:sz w:val="22"/>
        </w:rPr>
        <w:t>have</w:t>
      </w:r>
      <w:r>
        <w:rPr>
          <w:color w:val="000000"/>
        </w:rPr>
        <w:t xml:space="preserve"> </w:t>
      </w:r>
      <w:r>
        <w:rPr>
          <w:rFonts w:ascii="Times New Roman;sans-serif" w:hAnsi="Times New Roman;sans-serif"/>
          <w:b w:val="false"/>
          <w:color w:val="000000"/>
          <w:sz w:val="22"/>
        </w:rPr>
        <w:t>executed</w:t>
      </w:r>
      <w:r>
        <w:rPr>
          <w:color w:val="000000"/>
        </w:rPr>
        <w:t xml:space="preserve"> </w:t>
      </w:r>
      <w:r>
        <w:rPr>
          <w:rFonts w:ascii="Times New Roman;sans-serif" w:hAnsi="Times New Roman;sans-serif"/>
          <w:b w:val="false"/>
          <w:color w:val="000000"/>
          <w:sz w:val="22"/>
        </w:rPr>
        <w:t>this</w:t>
      </w:r>
      <w:r>
        <w:rPr>
          <w:color w:val="000000"/>
        </w:rPr>
        <w:t xml:space="preserve"> </w:t>
      </w:r>
      <w:r>
        <w:rPr>
          <w:rFonts w:ascii="Times New Roman;sans-serif" w:hAnsi="Times New Roman;sans-serif"/>
          <w:b w:val="false"/>
          <w:color w:val="000000"/>
          <w:sz w:val="22"/>
        </w:rPr>
        <w:t>Consulting</w:t>
      </w:r>
      <w:r>
        <w:rPr>
          <w:color w:val="000000"/>
        </w:rPr>
        <w:t xml:space="preserve"> </w:t>
      </w:r>
      <w:r>
        <w:rPr>
          <w:rFonts w:ascii="Times New Roman;sans-serif" w:hAnsi="Times New Roman;sans-serif"/>
          <w:b w:val="false"/>
          <w:color w:val="000000"/>
          <w:sz w:val="22"/>
        </w:rPr>
        <w:t>Agreement</w:t>
      </w:r>
      <w:r>
        <w:rPr>
          <w:color w:val="000000"/>
        </w:rPr>
        <w:t xml:space="preserve"> </w:t>
      </w:r>
      <w:r>
        <w:rPr>
          <w:rFonts w:ascii="Times New Roman;sans-serif" w:hAnsi="Times New Roman;sans-serif"/>
          <w:b w:val="false"/>
          <w:color w:val="000000"/>
          <w:sz w:val="22"/>
        </w:rPr>
        <w:t>as</w:t>
      </w:r>
      <w:r>
        <w:rPr>
          <w:color w:val="000000"/>
        </w:rPr>
        <w:t xml:space="preserve"> </w:t>
      </w:r>
      <w:r>
        <w:rPr>
          <w:rFonts w:ascii="Times New Roman;sans-serif" w:hAnsi="Times New Roman;sans-serif"/>
          <w:b w:val="false"/>
          <w:color w:val="000000"/>
          <w:sz w:val="22"/>
        </w:rPr>
        <w:t>of</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Effective</w:t>
      </w:r>
      <w:r>
        <w:rPr>
          <w:color w:val="000000"/>
        </w:rPr>
        <w:t xml:space="preserve"> </w:t>
      </w:r>
      <w:r>
        <w:rPr>
          <w:rFonts w:ascii="Times New Roman;sans-serif" w:hAnsi="Times New Roman;sans-serif"/>
          <w:b w:val="false"/>
          <w:color w:val="000000"/>
          <w:sz w:val="24"/>
        </w:rPr>
        <w:t>date.</w:t>
      </w:r>
    </w:p>
    <w:tbl>
      <w:tblPr>
        <w:tblW w:w="3094" w:type="dxa"/>
        <w:jc w:val="left"/>
        <w:tblInd w:w="0" w:type="dxa"/>
        <w:tblLayout w:type="fixed"/>
        <w:tblCellMar>
          <w:top w:w="28" w:type="dxa"/>
          <w:left w:w="28" w:type="dxa"/>
          <w:bottom w:w="28" w:type="dxa"/>
          <w:right w:w="28" w:type="dxa"/>
        </w:tblCellMar>
      </w:tblPr>
      <w:tblGrid>
        <w:gridCol w:w="343"/>
        <w:gridCol w:w="301"/>
        <w:gridCol w:w="301"/>
        <w:gridCol w:w="301"/>
        <w:gridCol w:w="301"/>
        <w:gridCol w:w="309"/>
        <w:gridCol w:w="109"/>
        <w:gridCol w:w="109"/>
        <w:gridCol w:w="109"/>
        <w:gridCol w:w="179"/>
        <w:gridCol w:w="179"/>
        <w:gridCol w:w="181"/>
        <w:gridCol w:w="109"/>
        <w:gridCol w:w="109"/>
        <w:gridCol w:w="154"/>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For Life360,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before="0" w:after="0"/>
        <w:jc w:val="both"/>
        <w:rPr/>
      </w:pPr>
      <w:r>
        <w:rPr/>
      </w:r>
    </w:p>
    <w:p>
      <w:pPr>
        <w:pStyle w:val="TextBody"/>
        <w:bidi w:val="0"/>
        <w:spacing w:lineRule="auto" w:line="288" w:before="0" w:after="0"/>
        <w:ind w:left="0" w:right="0" w:firstLine="1508"/>
        <w:jc w:val="both"/>
        <w:rPr>
          <w:rFonts w:ascii="Times New Roman;sans-serif" w:hAnsi="Times New Roman;sans-serif"/>
          <w:b/>
          <w:color w:val="000000"/>
          <w:sz w:val="22"/>
          <w:u w:val="single"/>
        </w:rPr>
      </w:pPr>
      <w:r>
        <w:rPr>
          <w:rFonts w:ascii="Times New Roman;sans-serif" w:hAnsi="Times New Roman;sans-serif"/>
          <w:b/>
          <w:color w:val="000000"/>
          <w:sz w:val="22"/>
          <w:u w:val="single"/>
        </w:rPr>
        <w:t>Services and Compensation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2"/>
        </w:rPr>
        <w:t xml:space="preserve">Contact: </w:t>
      </w:r>
      <w:r>
        <w:rPr>
          <w:rFonts w:ascii="Times New Roman;sans-serif" w:hAnsi="Times New Roman;sans-serif"/>
          <w:b w:val="false"/>
          <w:color w:val="000000"/>
          <w:sz w:val="22"/>
        </w:rPr>
        <w:t xml:space="preserve">Consultant’s principal Life360 contacts: Chris Hulls, </w:t>
      </w:r>
      <w:r>
        <w:rPr>
          <w:rFonts w:ascii="Times New Roman;sans-serif" w:hAnsi="Times New Roman;sans-serif"/>
          <w:b w:val="false"/>
          <w:color w:val="67E499"/>
          <w:sz w:val="22"/>
        </w:rPr>
        <w:t xml:space="preserve">chris@life360.com </w:t>
      </w:r>
      <w:r>
        <w:rPr>
          <w:rFonts w:ascii="Times New Roman;sans-serif" w:hAnsi="Times New Roman;sans-serif"/>
          <w:b w:val="false"/>
          <w:color w:val="000000"/>
          <w:sz w:val="22"/>
        </w:rPr>
        <w:t xml:space="preserve">and Russell Burke, </w:t>
      </w:r>
      <w:r>
        <w:rPr>
          <w:rFonts w:ascii="Times New Roman;sans-serif" w:hAnsi="Times New Roman;sans-serif"/>
          <w:b w:val="false"/>
          <w:color w:val="0000FF"/>
          <w:sz w:val="22"/>
        </w:rPr>
        <w:t>rburke@life360.com</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2"/>
        </w:rPr>
        <w:t xml:space="preserve">Services: </w:t>
      </w:r>
      <w:r>
        <w:rPr>
          <w:rFonts w:ascii="Times New Roman;sans-serif" w:hAnsi="Times New Roman;sans-serif"/>
          <w:b w:val="false"/>
          <w:color w:val="000000"/>
          <w:sz w:val="22"/>
        </w:rPr>
        <w:t>The Consultant’s responsibilities shall include, but are not limited to, the following: Advising Life360 CEO and executive team on strategic and operational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231F20"/>
          <w:sz w:val="22"/>
        </w:rPr>
        <w:t xml:space="preserve">Contract Duration: </w:t>
      </w:r>
      <w:r>
        <w:rPr>
          <w:rFonts w:ascii="Times New Roman;sans-serif" w:hAnsi="Times New Roman;sans-serif"/>
          <w:b w:val="false"/>
          <w:color w:val="231F20"/>
          <w:sz w:val="22"/>
        </w:rPr>
        <w:t xml:space="preserve">This agreement shall begin effective Separation Date (as defined in Consultant’s Separation Agreement) and end on </w:t>
      </w:r>
      <w:r>
        <w:rPr>
          <w:rFonts w:ascii="Times New Roman;sans-serif" w:hAnsi="Times New Roman;sans-serif"/>
          <w:b w:val="false"/>
          <w:color w:val="000000"/>
          <w:sz w:val="22"/>
        </w:rPr>
        <w:t xml:space="preserve">July 6, 2024 </w:t>
      </w:r>
      <w:r>
        <w:rPr>
          <w:rFonts w:ascii="Times New Roman;sans-serif" w:hAnsi="Times New Roman;sans-serif"/>
          <w:b w:val="false"/>
          <w:color w:val="231F20"/>
          <w:sz w:val="22"/>
        </w:rPr>
        <w:t>, subject to the terms provided in section 6. This agreement may be extended beyond the end date based upon mutual agreement between Life360 and Consultant.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231F20"/>
          <w:sz w:val="22"/>
        </w:rPr>
        <w:t xml:space="preserve">Compensation: </w:t>
      </w:r>
      <w:r>
        <w:rPr>
          <w:rFonts w:ascii="Times New Roman;sans-serif" w:hAnsi="Times New Roman;sans-serif"/>
          <w:b w:val="false"/>
          <w:color w:val="231F20"/>
          <w:sz w:val="22"/>
        </w:rPr>
        <w:t>$500 per hour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231F20"/>
          <w:sz w:val="22"/>
        </w:rPr>
        <w:t xml:space="preserve">Equity and Cash Vesting: </w:t>
      </w:r>
      <w:r>
        <w:rPr>
          <w:rFonts w:ascii="Times New Roman;sans-serif" w:hAnsi="Times New Roman;sans-serif"/>
          <w:b w:val="false"/>
          <w:color w:val="231F20"/>
          <w:sz w:val="22"/>
        </w:rPr>
        <w:t>During the term of this agreement, Consultant shall continue to vest in any unvested equity awards or unvested cash payments as if Consultant were employed by Life360.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2"/>
        </w:rPr>
        <w:t xml:space="preserve">Payment: </w:t>
      </w:r>
      <w:r>
        <w:rPr>
          <w:rFonts w:ascii="Times New Roman;sans-serif" w:hAnsi="Times New Roman;sans-serif"/>
          <w:b w:val="false"/>
          <w:color w:val="000000"/>
          <w:sz w:val="22"/>
        </w:rPr>
        <w:t xml:space="preserve">Consultant will invoice Company according to Consultant’s preferred schedule, either semi-monthly or monthly, for services. Invoices should be emailed directly to </w:t>
      </w:r>
      <w:r>
        <w:rPr>
          <w:rFonts w:ascii="Times New Roman;sans-serif" w:hAnsi="Times New Roman;sans-serif"/>
          <w:b w:val="false"/>
          <w:color w:val="67E499"/>
          <w:sz w:val="22"/>
        </w:rPr>
        <w:t xml:space="preserve">ap@life360.com </w:t>
      </w:r>
      <w:r>
        <w:rPr>
          <w:rFonts w:ascii="Times New Roman;sans-serif" w:hAnsi="Times New Roman;sans-serif"/>
          <w:b w:val="false"/>
          <w:color w:val="000000"/>
          <w:sz w:val="22"/>
        </w:rPr>
        <w:t>. Payment will be issued according to Consultant’s direct deposit setup within 15 days of invoice approval by Chief Financial Officer or Chief People Officer</w:t>
      </w:r>
      <w:r>
        <w:rPr>
          <w:rFonts w:ascii="Times New Roman;sans-serif" w:hAnsi="Times New Roman;sans-serif"/>
          <w:b w:val="false"/>
          <w:color w:val="231F2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231F20"/>
          <w:sz w:val="22"/>
        </w:rPr>
      </w:pPr>
      <w:r>
        <w:rPr>
          <w:rFonts w:ascii="Times New Roman;sans-serif" w:hAnsi="Times New Roman;sans-serif"/>
          <w:b/>
          <w:color w:val="231F20"/>
          <w:sz w:val="22"/>
        </w:rPr>
        <w:t>EXHIBIT 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LIFE360, INC.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CONFIDENTIAL INFORMATION AND INVENTION ASSIGNMENT AGREEMENT</w:t>
      </w:r>
    </w:p>
    <w:p>
      <w:pPr>
        <w:pStyle w:val="TextBody"/>
        <w:bidi w:val="0"/>
        <w:spacing w:before="0" w:after="0"/>
        <w:ind w:left="0" w:right="0" w:firstLine="3685"/>
        <w:jc w:val="both"/>
        <w:rPr/>
      </w:pPr>
      <w:r>
        <w:rPr/>
      </w:r>
    </w:p>
    <w:p>
      <w:pPr>
        <w:pStyle w:val="TextBody"/>
        <w:bidi w:val="0"/>
        <w:spacing w:lineRule="auto" w:line="288" w:before="0" w:after="0"/>
        <w:ind w:left="0" w:right="0" w:firstLine="3685"/>
        <w:jc w:val="both"/>
        <w:rPr>
          <w:rFonts w:ascii="Times New Roman;sans-serif" w:hAnsi="Times New Roman;sans-serif"/>
          <w:b w:val="false"/>
          <w:i/>
          <w:color w:val="000000"/>
          <w:sz w:val="22"/>
        </w:rPr>
      </w:pPr>
      <w:r>
        <w:rPr>
          <w:rFonts w:ascii="Times New Roman;sans-serif" w:hAnsi="Times New Roman;sans-serif"/>
          <w:b w:val="false"/>
          <w:i/>
          <w:color w:val="000000"/>
          <w:sz w:val="22"/>
        </w:rPr>
        <w:t>Employee Name: Charles "CJ" Prober</w:t>
      </w:r>
    </w:p>
    <w:p>
      <w:pPr>
        <w:pStyle w:val="TextBody"/>
        <w:bidi w:val="0"/>
        <w:spacing w:lineRule="auto" w:line="288" w:before="0" w:after="0"/>
        <w:ind w:left="0" w:right="0" w:firstLine="3685"/>
        <w:jc w:val="both"/>
        <w:rPr>
          <w:rFonts w:ascii="Times New Roman;sans-serif" w:hAnsi="Times New Roman;sans-serif"/>
          <w:b w:val="false"/>
          <w:i/>
          <w:color w:val="000000"/>
          <w:sz w:val="22"/>
        </w:rPr>
      </w:pPr>
      <w:r>
        <w:rPr>
          <w:rFonts w:ascii="Times New Roman;sans-serif" w:hAnsi="Times New Roman;sans-serif"/>
          <w:b w:val="false"/>
          <w:i/>
          <w:color w:val="000000"/>
          <w:sz w:val="22"/>
        </w:rPr>
        <w:t>Effective Date: November 22, 2021</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As a condition of my becoming employed (or my employment being continued) by Life360, Inc., a Delaware corporation, or any of its current or future subsidiaries, affiliates, successors or assigns (collectively,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in consideration of my employment with the Company and my receipt of the compensation now and hereafter paid to me by the Company, the receipt of Confidential Information (as defined below) while associated with the Company, and other good and valuable consideration, the receipt and sufficiency of which are hereby acknowledged, I hereby agree to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Relationship</w:t>
      </w:r>
      <w:r>
        <w:rPr>
          <w:rFonts w:ascii="Times New Roman;sans-serif" w:hAnsi="Times New Roman;sans-serif"/>
          <w:b/>
          <w:color w:val="000000"/>
          <w:sz w:val="22"/>
        </w:rPr>
        <w:t xml:space="preserve">. </w:t>
      </w:r>
      <w:r>
        <w:rPr>
          <w:rFonts w:ascii="Times New Roman;sans-serif" w:hAnsi="Times New Roman;sans-serif"/>
          <w:b w:val="false"/>
          <w:color w:val="000000"/>
          <w:sz w:val="22"/>
        </w:rPr>
        <w:t>This Confidential Information and Invention Assignment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will apply to my employment relationship with the Company. If that relationship ends and the Company, within one (1) year thereafter, either reemploys me or engages me as a consultant, I agree that this Agreement will also apply to such later employment or consulting relationship, unless the Company and I otherwise agree in writing. Any employment or consulting relationship between the parties hereto, whether commenced prior to, upon or after the date of this Agreement, is referred to herein as the “</w:t>
      </w:r>
      <w:r>
        <w:rPr>
          <w:rFonts w:ascii="Times New Roman;sans-serif" w:hAnsi="Times New Roman;sans-serif"/>
          <w:b w:val="false"/>
          <w:color w:val="000000"/>
          <w:sz w:val="22"/>
          <w:u w:val="single"/>
        </w:rPr>
        <w:t>Relationship</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Applicability to Past Activities</w:t>
      </w:r>
      <w:r>
        <w:rPr>
          <w:rFonts w:ascii="Times New Roman;sans-serif" w:hAnsi="Times New Roman;sans-serif"/>
          <w:b/>
          <w:color w:val="000000"/>
          <w:sz w:val="22"/>
        </w:rPr>
        <w:t xml:space="preserve">. </w:t>
      </w:r>
      <w:r>
        <w:rPr>
          <w:rFonts w:ascii="Times New Roman;sans-serif" w:hAnsi="Times New Roman;sans-serif"/>
          <w:b w:val="false"/>
          <w:color w:val="000000"/>
          <w:sz w:val="22"/>
        </w:rPr>
        <w:t>The Company and I acknowledge that I may have performed work, activities, services or made efforts on behalf of or for the benefit of the Company, or related to the current or prospective business of the Company in anticipation of my involvement with the Company, that would have been within the scope of my duties under this agreement if performed during the term of this Agreement, for a period of time prior to the Effective Date of this Agreement (the “</w:t>
      </w:r>
      <w:r>
        <w:rPr>
          <w:rFonts w:ascii="Times New Roman;sans-serif" w:hAnsi="Times New Roman;sans-serif"/>
          <w:b w:val="false"/>
          <w:color w:val="000000"/>
          <w:sz w:val="22"/>
          <w:u w:val="single"/>
        </w:rPr>
        <w:t>Prior Period</w:t>
      </w:r>
      <w:r>
        <w:rPr>
          <w:color w:val="000000"/>
        </w:rPr>
        <w:t>”</w:t>
      </w:r>
      <w:r>
        <w:rPr>
          <w:rFonts w:ascii="Times New Roman;sans-serif" w:hAnsi="Times New Roman;sans-serif"/>
          <w:b w:val="false"/>
          <w:color w:val="000000"/>
          <w:sz w:val="22"/>
        </w:rPr>
        <w:t>). Accordingly, if and to the extent that, during the Prior Period: (i) I received access to any information from or on behalf of the Company that would have been Confidential Information (as defined below) if I received access to such information during the term of this Agreement; or (ii) I (a) conceived, created, authored, invented, developed or reduced to practice any item (including any intellectual property rights with respect thereto) on behalf of or for the benefit of the Company, or related to the current or prospective business of the Company in anticipation of my involvement with the Company, that would have been an Invention (as defined below) if conceived, created, authored, invented, developed or reduced to practice during the term of this Agreement; or (b) incorporated into any such item any pre-existing invention, improvement, development, concept, discovery or other proprietary information that would have been a Prior Invention (as defined below) if incorporated into such item during the term of this Agreement; 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3.Confidential Information.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Protection of Information</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during the Relationship, the Company intends to provide me with certain information, including Confidential Information (as defined below), without which I would not be able to perform my duties to the Company. At all times during the term of the Relationship and thereafter, I shall hold in strictest confidence, and not use, except for the benefit of the Company to the extent necessary to perform my obligations to the Company under the Relationship, and not disclose to any person, firm, corporation or other entity, without written authorization from the Company in each instance, any Confidential Information that I obtain, access or create during the term of the Relationship, whether or not during working hours, until such Confidential Information becomes publicly and widely known and made generally available through no wrongful act of mine or of others who were under confidentiality obligations as to the item or items involved. I shall not make copies of such Confidential Information except as authorized by the Company or in the ordinary course of my obligations to the Company under the Relationship.</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Confidential Information</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means any and all information and physical manifestations thereof not generally known or available outside the Company and information and physical manifestations thereof entrusted to the Company in confidence by third parties, whether or not such information is patentable, copyrightable or otherwise legally protectable. Confidential Information includes, without limitation: (i) Company Inventions (as defined below); and (ii) technical data, trade secrets, know-how, research, product or service ideas or plans, software codes and designs, algorithms, developments, inventions, patent applications, laboratory notebooks, processes, formulas, techniques, biological materials, mask works, engineering designs and drawings, hardware configuration information, agreements with third parties, lists of, or information relating to, employees and consultants of the Company (including, but not limited to, the names, contact information, jobs, compensation, and expertise of such employees and consultants), lists of, or information relating to, suppliers and customers (including, but not limited to, customers of the Company on whom I called or with whom I became acquainted during the Relationship), price lists, pricing methodologies, cost data, market share data, marketing plans, licenses, contract information, business plans, financial forecasts, historical financial data, budgets or other business information disclosed to me by the Company either directly or indirectly, whether in writing, electronically, orally, or by observation.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Third Party Information</w:t>
      </w:r>
      <w:r>
        <w:rPr>
          <w:rFonts w:ascii="Times New Roman;sans-serif" w:hAnsi="Times New Roman;sans-serif"/>
          <w:b/>
          <w:color w:val="000000"/>
          <w:sz w:val="22"/>
        </w:rPr>
        <w:t xml:space="preserve">. </w:t>
      </w:r>
      <w:r>
        <w:rPr>
          <w:rFonts w:ascii="Times New Roman;sans-serif" w:hAnsi="Times New Roman;sans-serif"/>
          <w:b w:val="false"/>
          <w:color w:val="000000"/>
          <w:sz w:val="22"/>
        </w:rPr>
        <w:t>My agreements in this Section 3 are intended to be for the benefit of the Company and any third party that has entrusted information or physical material to the Company in confidence. During the term of the Relationship and thereafter, I will not improperly use or disclose to the Company any confidential, proprietary or secret information of my former employer(s) or any other person, and I will not bring any such information onto the Company’s property or place of business.</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d.</w:t>
      </w:r>
      <w:r>
        <w:rPr>
          <w:rFonts w:ascii="Times New Roman;sans-serif" w:hAnsi="Times New Roman;sans-serif"/>
          <w:b/>
          <w:color w:val="000000"/>
          <w:sz w:val="22"/>
          <w:u w:val="single"/>
        </w:rPr>
        <w:t>Other Rights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is intended to supplement, and not to supersede, any rights the Company may have in law or equity with respect to the protection of trade secrets or confidential or proprietary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color w:val="000000"/>
          <w:sz w:val="22"/>
          <w:u w:val="single"/>
        </w:rPr>
        <w:t>U.S. Defend Trade Secrets Act</w:t>
      </w:r>
      <w:r>
        <w:rPr>
          <w:rFonts w:ascii="Times New Roman;sans-serif" w:hAnsi="Times New Roman;sans-serif"/>
          <w:b/>
          <w:color w:val="000000"/>
          <w:sz w:val="22"/>
        </w:rPr>
        <w:t xml:space="preserve">. </w:t>
      </w:r>
      <w:r>
        <w:rPr>
          <w:rFonts w:ascii="Times New Roman;sans-serif" w:hAnsi="Times New Roman;sans-serif"/>
          <w:b w:val="false"/>
          <w:color w:val="000000"/>
          <w:sz w:val="22"/>
        </w:rPr>
        <w:t>Notwithstanding the foregoing, the U.S. Defend Trade Secrets Act of 2016 (“</w:t>
      </w:r>
      <w:r>
        <w:rPr>
          <w:rFonts w:ascii="Times New Roman;sans-serif" w:hAnsi="Times New Roman;sans-serif"/>
          <w:b w:val="false"/>
          <w:color w:val="000000"/>
          <w:sz w:val="22"/>
          <w:u w:val="single"/>
        </w:rPr>
        <w:t>DTSA</w:t>
      </w:r>
      <w:r>
        <w:rPr>
          <w:color w:val="000000"/>
        </w:rPr>
        <w:t>”</w:t>
      </w:r>
      <w:r>
        <w:rPr>
          <w:rFonts w:ascii="Times New Roman;sans-serif" w:hAnsi="Times New Roman;sans-serif"/>
          <w:b w:val="false"/>
          <w:color w:val="000000"/>
          <w:sz w:val="22"/>
        </w:rPr>
        <w:t>)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4.Ownership of Inventions.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Inventions Retained and Licensed</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I have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a complete list describing with particularity all Inventions (as defined below) that, as of the Effective Date: (i) have been created by or on behalf of me, and/or (ii) are owned exclusively by me or jointly by me with others or in which I have an interest, and that relate in any way to any of the Company’s actual or proposed businesses, products, services, or research and development, and which are not assigned to the Company hereunder (collectively “</w:t>
      </w:r>
      <w:r>
        <w:rPr>
          <w:rFonts w:ascii="Times New Roman;sans-serif" w:hAnsi="Times New Roman;sans-serif"/>
          <w:b w:val="false"/>
          <w:color w:val="000000"/>
          <w:sz w:val="22"/>
          <w:u w:val="single"/>
        </w:rPr>
        <w:t>Prior</w:t>
      </w:r>
      <w:r>
        <w:rPr>
          <w:color w:val="000000"/>
        </w:rPr>
        <w:t xml:space="preserve"> </w:t>
      </w:r>
      <w:r>
        <w:rPr>
          <w:rFonts w:ascii="Times New Roman;sans-serif" w:hAnsi="Times New Roman;sans-serif"/>
          <w:b w:val="false"/>
          <w:color w:val="000000"/>
          <w:sz w:val="22"/>
          <w:u w:val="single"/>
        </w:rPr>
        <w:t>Inventions</w:t>
      </w:r>
      <w:r>
        <w:rPr>
          <w:color w:val="000000"/>
        </w:rPr>
        <w:t>”</w:t>
      </w:r>
      <w:r>
        <w:rPr>
          <w:rFonts w:ascii="Times New Roman;sans-serif" w:hAnsi="Times New Roman;sans-serif"/>
          <w:b w:val="false"/>
          <w:color w:val="000000"/>
          <w:sz w:val="22"/>
        </w:rPr>
        <w:t xml:space="preserve">); or, if no such list is attached, I represent and warrant that there are no such Inventions at the time of signing this Agreement, and to the extent such Inventions do exist and are not listed on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xml:space="preserve">, I hereby irrevocably and forever waive any and all rights or claims of ownership to such Inventions. I understand that my listing of any Inventions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does not constitute an acknowledgement by the Company of the existence or extent of such Inventions, nor of my ownership of such Inventions. I further understand that I must receive the formal approval of the Company before commencing my Relationship with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Use or Incorporation of Inventions</w:t>
      </w:r>
      <w:r>
        <w:rPr>
          <w:rFonts w:ascii="Times New Roman;sans-serif" w:hAnsi="Times New Roman;sans-serif"/>
          <w:b/>
          <w:color w:val="000000"/>
          <w:sz w:val="22"/>
        </w:rPr>
        <w:t xml:space="preserve">. </w:t>
      </w:r>
      <w:r>
        <w:rPr>
          <w:rFonts w:ascii="Times New Roman;sans-serif" w:hAnsi="Times New Roman;sans-serif"/>
          <w:b w:val="false"/>
          <w:color w:val="000000"/>
          <w:sz w:val="22"/>
        </w:rPr>
        <w:t>If in the course of the Relationship, I use or incorporate into any of the Company’s products, services, processes or machines any Invention not assigned to the Company pursuant to Section 4(d) of this Agreement in which I have an interest, I will promptly so inform the Company in writing. Whether or not I give such notice, I hereby irrevocably grant to the Company a nonexclusive, fully paid-up, royalty-free, assumable, perpetual, worldwide license, with right to transfer and to sublicense, to practice and exploit such Invention and to make, have made, copy, modify, make derivative works of, use, sell, import, and otherwise distribute such Invention under all applicable intellectual property laws without restriction of any kind.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Inventions</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w:t>
      </w:r>
      <w:r>
        <w:rPr>
          <w:rFonts w:ascii="Times New Roman;sans-serif" w:hAnsi="Times New Roman;sans-serif"/>
          <w:b w:val="false"/>
          <w:color w:val="000000"/>
          <w:sz w:val="22"/>
          <w:u w:val="single"/>
        </w:rPr>
        <w:t>Inventions</w:t>
      </w:r>
      <w:r>
        <w:rPr>
          <w:color w:val="000000"/>
        </w:rPr>
        <w:t xml:space="preserve">” </w:t>
      </w:r>
      <w:r>
        <w:rPr>
          <w:rFonts w:ascii="Times New Roman;sans-serif" w:hAnsi="Times New Roman;sans-serif"/>
          <w:b w:val="false"/>
          <w:color w:val="000000"/>
          <w:sz w:val="22"/>
        </w:rPr>
        <w:t>means discoveries, developments, concepts, designs, ideas, know how, modifications, improvements, derivative works, inventions, trade secrets and/or original works of authorship, whether or not patentable, copyrightable or otherwise legally protectable. I understand this includes, but is not limited to, any new product, machine, article of manufacture, biological material, method, procedure, process, technique, use, equipment, device, apparatus, system, compound, formulation, composition of matter, design or configuration of any kind, or any improvement thereon. I understand that “</w:t>
      </w:r>
      <w:r>
        <w:rPr>
          <w:rFonts w:ascii="Times New Roman;sans-serif" w:hAnsi="Times New Roman;sans-serif"/>
          <w:b w:val="false"/>
          <w:color w:val="000000"/>
          <w:sz w:val="22"/>
          <w:u w:val="single"/>
        </w:rPr>
        <w:t>Company Inventions</w:t>
      </w:r>
      <w:r>
        <w:rPr>
          <w:color w:val="000000"/>
        </w:rPr>
        <w:t xml:space="preserve">” </w:t>
      </w:r>
      <w:r>
        <w:rPr>
          <w:rFonts w:ascii="Times New Roman;sans-serif" w:hAnsi="Times New Roman;sans-serif"/>
          <w:b w:val="false"/>
          <w:color w:val="000000"/>
          <w:sz w:val="22"/>
        </w:rPr>
        <w:t>means any and all Inventions that I may solely or jointly author, discover, develop, conceive, or reduce to practice during the period of the Relationship or otherwise in connection with the Relationship, except as otherwise provided in Section 4(g) below.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color w:val="000000"/>
          <w:sz w:val="22"/>
          <w:u w:val="single"/>
        </w:rPr>
        <w:t>Assignment of Company Inventions</w:t>
      </w:r>
      <w:r>
        <w:rPr>
          <w:rFonts w:ascii="Times New Roman;sans-serif" w:hAnsi="Times New Roman;sans-serif"/>
          <w:b/>
          <w:color w:val="000000"/>
          <w:sz w:val="22"/>
        </w:rPr>
        <w:t xml:space="preserve">. </w:t>
      </w:r>
      <w:r>
        <w:rPr>
          <w:rFonts w:ascii="Times New Roman;sans-serif" w:hAnsi="Times New Roman;sans-serif"/>
          <w:b w:val="false"/>
          <w:color w:val="000000"/>
          <w:sz w:val="22"/>
        </w:rPr>
        <w:t>I will promptly make full written disclosure to the Company, will hold in trust for the sole right and benefit of the Company, and hereby assign to the Company, or its designee, all of my right, title and interest throughout the world in and to any and all Company Inventions and all patent, copyright, trademark, trade secret and other intellectual property rights and other proprietary rights therein. I hereby waive and irrevocably quitclaim to the Company or its designee any and all claims, of any nature whatsoever, that I now have or may hereafter have for infringement of any and all Company Inventions. I further acknowledge that all Company Inventions that are made by me (solely or jointly with others) within the scope of and during the period of the Relationship are “works made for hire” (to the greatest extent permitted by applicable law) and are compensated by my salary. Any assignment of Company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sans-serif" w:hAnsi="Times New Roman;sans-serif"/>
          <w:b w:val="false"/>
          <w:color w:val="000000"/>
          <w:sz w:val="22"/>
          <w:u w:val="single"/>
        </w:rPr>
        <w:t>Moral Rights</w:t>
      </w:r>
      <w:r>
        <w:rPr>
          <w:color w:val="000000"/>
        </w:rPr>
        <w:t>”</w:t>
      </w:r>
      <w:r>
        <w:rPr>
          <w:rFonts w:ascii="Times New Roman;sans-serif" w:hAnsi="Times New Roman;sans-serif"/>
          <w:b w:val="false"/>
          <w:color w:val="000000"/>
          <w:sz w:val="22"/>
        </w:rPr>
        <w:t>). To the extent that Moral Rights cannot be assigned under applicable law, I hereby waive and agree not to enforce any and all Moral Rights, including, without limitation, any limitation on subsequent modification, to the extent permitted under applicable law. If I have any rights to the Company Inventions, other than Moral Rights, that cannot be assigned to the Company, I hereby unconditionally and irrevocably grant to the Company during the term of such rights, an exclusive, irrevocable, perpetual, worldwide, fully paid and royalty-free license, with rights to sublicense through multiple levels of sublicensees, to reproduce, distribute, display, perform, prepare derivative works of and otherwise modify, make, have made, sell, offer to sell, import, practice methods, processes and procedures and otherwise use and exploit, such Company Inventions.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color w:val="000000"/>
          <w:sz w:val="22"/>
          <w:u w:val="single"/>
        </w:rPr>
        <w:t>Maintenance of Records</w:t>
      </w:r>
      <w:r>
        <w:rPr>
          <w:rFonts w:ascii="Times New Roman;sans-serif" w:hAnsi="Times New Roman;sans-serif"/>
          <w:b/>
          <w:color w:val="000000"/>
          <w:sz w:val="22"/>
        </w:rPr>
        <w:t xml:space="preserve">. </w:t>
      </w:r>
      <w:r>
        <w:rPr>
          <w:rFonts w:ascii="Times New Roman;sans-serif" w:hAnsi="Times New Roman;sans-serif"/>
          <w:b w:val="false"/>
          <w:color w:val="000000"/>
          <w:sz w:val="22"/>
        </w:rPr>
        <w:t>I shall keep and maintain adequate and current written records of all Company Inventions made or conceived by me (solely or jointly with others) during the term of the Relationship. The records may be in the form of notes, sketches, drawings, flow charts, electronic data or recordings, laboratory notebooks, or any other format. The records will be available to and remain the sole property of the Company at all times. I shall not remove such records from the Company’s place of business or systems except as expressly permitted by Company policy which may, from time to time, be revised at the sole election of the Company for the purpose of furthering the Company’s business. I shall deliver all such records (including any copies thereof) to the Company at the time of termination of the Relationship as provided for in Section 5 and Section 6.</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color w:val="000000"/>
          <w:sz w:val="22"/>
          <w:u w:val="single"/>
        </w:rPr>
        <w:t>Intellectual Property Rights</w:t>
      </w:r>
      <w:r>
        <w:rPr>
          <w:rFonts w:ascii="Times New Roman;sans-serif" w:hAnsi="Times New Roman;sans-serif"/>
          <w:b/>
          <w:color w:val="000000"/>
          <w:sz w:val="22"/>
        </w:rPr>
        <w:t xml:space="preserve">. </w:t>
      </w:r>
      <w:r>
        <w:rPr>
          <w:rFonts w:ascii="Times New Roman;sans-serif" w:hAnsi="Times New Roman;sans-serif"/>
          <w:b w:val="false"/>
          <w:color w:val="000000"/>
          <w:sz w:val="22"/>
        </w:rPr>
        <w:t>I shall assist the Company, or its designee, at its expense, in every proper way in securing the Company’s, or its designee’s, rights in the Company Inventions and any copyrights, patents, trademarks, mask work rights, Moral Rights, or other intellectual property rights relating thereto in any and all countries, including the disclosure to the Company or its designee of all pertinent information and data with respect thereto, the execution of all applications, specifications, oaths, assignments, recordations, and all other instruments which the Company or its designee shall deem necessary in order to apply for, obtain, maintain and transfer such rights, or if not transferable, waive and shall never assert such rights, and in order to assign and convey to the Company or its designee, and any successors, assigns and nominees the sole and exclusive right, title and interest in and to such Company Inventions, and any copyrights, patents, mask work rights or other intellectual property rights relating thereto. My obligation to execute or cause to be executed, when it is in my power to do so, any such instrument or papers shall continue during and at all times after the end of the Relationship and until the expiration of the last such intellectual property right to expire in any country of the world. I hereby irrevocably designate and appoint the Company and its duly authorized officers and agents as my agent and attorney-in-fact, to act for and in my behalf and stead to execute and file any such instruments and papers and to do all other lawfully permitted acts to further the application for, prosecution, issuance, maintenance or transfer of letters patent, copyright, mask work and other registrations related to such Company Inventions. This power of attorney is coupled with an interest and shall not be affected by my subsequent incapacity.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g.</w:t>
      </w:r>
      <w:r>
        <w:rPr>
          <w:rFonts w:ascii="Times New Roman;sans-serif" w:hAnsi="Times New Roman;sans-serif"/>
          <w:b/>
          <w:color w:val="000000"/>
          <w:sz w:val="22"/>
          <w:u w:val="single"/>
        </w:rPr>
        <w:t>Exception to Assignments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Subject to the requirements of applicable state law, if any, I understand that the Company Inventions will not include, and the provisions of this Agreement requiring assignment of inventions to the Company do not apply to, any invention which qualifies fully for exclusion under the provisions of applicable state law, if any, attached hereto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In order to assist in the determination of which inventions qualify for such exclusion, I will advise the Company promptly in writing, during and for a period of twelve (12) months immediately following the termination of the Relationship, of all Inventions solely or jointly conceived or developed or reduced to practice by me during the period of the Relationship.</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Company Property; Returning Company Documents</w:t>
      </w:r>
      <w:r>
        <w:rPr>
          <w:rFonts w:ascii="Times New Roman;sans-serif" w:hAnsi="Times New Roman;sans-serif"/>
          <w:b/>
          <w:color w:val="000000"/>
          <w:sz w:val="22"/>
        </w:rPr>
        <w:t xml:space="preserve">. </w:t>
      </w:r>
      <w:r>
        <w:rPr>
          <w:rFonts w:ascii="Times New Roman;sans-serif" w:hAnsi="Times New Roman;sans-serif"/>
          <w:b w:val="false"/>
          <w:color w:val="000000"/>
          <w:sz w:val="22"/>
        </w:rPr>
        <w:t>I acknowledge that I have no expectation of privacy with respect to the Company’s telecommunications, networking or information processing systems (including, without limitation, files, e-mail messages, and voice messages) and that my activity and any files or messages on or using any of those systems may be monitored or reviewed at any time without notice. I further acknowledge that any property situated on the Company’s premises or systems and owned by the Company, including disks and other storage media, filing cabinets or other work areas, is subject to inspection by Company personnel at any time with or without notice. At the time of termination of the Relationship, I will deliver to the Company (and will not keep in my possession, recreate or deliver to anyone else) any and all devices, records, data, notes, reports, proposals, lists, correspondence, specifications, drawings, blueprints, sketches, laboratory notebooks, materials, flow charts, equipment, other documents or property, or reproductions of any of the aforementioned items developed by me pursuant to the Relationship or otherwise belonging to the Company, its successors or assigns.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Termination Certification</w:t>
      </w:r>
      <w:r>
        <w:rPr>
          <w:rFonts w:ascii="Times New Roman;sans-serif" w:hAnsi="Times New Roman;sans-serif"/>
          <w:b/>
          <w:color w:val="000000"/>
          <w:sz w:val="22"/>
        </w:rPr>
        <w:t xml:space="preserve">. </w:t>
      </w:r>
      <w:r>
        <w:rPr>
          <w:rFonts w:ascii="Times New Roman;sans-serif" w:hAnsi="Times New Roman;sans-serif"/>
          <w:b w:val="false"/>
          <w:color w:val="000000"/>
          <w:sz w:val="22"/>
        </w:rPr>
        <w:t>In the event of the termination of the Relationship, I shall sign and deliver the “</w:t>
      </w:r>
      <w:r>
        <w:rPr>
          <w:rFonts w:ascii="Times New Roman;sans-serif" w:hAnsi="Times New Roman;sans-serif"/>
          <w:b w:val="false"/>
          <w:color w:val="000000"/>
          <w:sz w:val="22"/>
          <w:u w:val="single"/>
        </w:rPr>
        <w:t>Termination Certification</w:t>
      </w:r>
      <w:r>
        <w:rPr>
          <w:color w:val="000000"/>
        </w:rPr>
        <w:t xml:space="preserve">” </w:t>
      </w:r>
      <w:r>
        <w:rPr>
          <w:rFonts w:ascii="Times New Roman;sans-serif" w:hAnsi="Times New Roman;sans-serif"/>
          <w:b w:val="false"/>
          <w:color w:val="000000"/>
          <w:sz w:val="22"/>
        </w:rPr>
        <w:t xml:space="preserve">attached hereto as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 however, my failure to sign and deliver the Termination Certification shall in no way diminish my continuing obligations under this Agreement.</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color w:val="000000"/>
          <w:sz w:val="22"/>
          <w:u w:val="single"/>
        </w:rPr>
        <w:t>Notice to Third Parties</w:t>
      </w:r>
      <w:r>
        <w:rPr>
          <w:rFonts w:ascii="Times New Roman;sans-serif" w:hAnsi="Times New Roman;sans-serif"/>
          <w:b/>
          <w:color w:val="000000"/>
          <w:sz w:val="22"/>
        </w:rPr>
        <w:t xml:space="preserve">. </w:t>
      </w:r>
      <w:r>
        <w:rPr>
          <w:rFonts w:ascii="Times New Roman;sans-serif" w:hAnsi="Times New Roman;sans-serif"/>
          <w:b w:val="false"/>
          <w:color w:val="000000"/>
          <w:sz w:val="22"/>
        </w:rPr>
        <w:t>During the periods of time during which I am restricted in taking certain actions by the terms of Section 8 of this Agreement (the “</w:t>
      </w:r>
      <w:r>
        <w:rPr>
          <w:rFonts w:ascii="Times New Roman;sans-serif" w:hAnsi="Times New Roman;sans-serif"/>
          <w:b w:val="false"/>
          <w:color w:val="000000"/>
          <w:sz w:val="22"/>
          <w:u w:val="single"/>
        </w:rPr>
        <w:t>Restriction Period</w:t>
      </w:r>
      <w:r>
        <w:rPr>
          <w:color w:val="000000"/>
        </w:rPr>
        <w:t>”</w:t>
      </w:r>
      <w:r>
        <w:rPr>
          <w:rFonts w:ascii="Times New Roman;sans-serif" w:hAnsi="Times New Roman;sans-serif"/>
          <w:b w:val="false"/>
          <w:color w:val="000000"/>
          <w:sz w:val="22"/>
        </w:rPr>
        <w:t>), I shall inform any entity or person with whom I may seek to enter into a business relationship (whether as an owner, employee, independent contractor or otherwise) of my contractual obligations under this Agreement. I acknowledge that the Company may, with or without prior notice to me and whether during or after the term of the Relationship, notify third parties of my agreements and obligations under this Agreement. Upon written request by the Company, I will respond to the Company in writing regarding the status of my employment or proposed employment with any party during the Restriction Period.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u w:val="single"/>
        </w:rPr>
        <w:t>Solicitation of Employees, Consultants and Other Parties</w:t>
      </w:r>
      <w:r>
        <w:rPr>
          <w:rFonts w:ascii="Times New Roman;sans-serif" w:hAnsi="Times New Roman;sans-serif"/>
          <w:b/>
          <w:color w:val="000000"/>
          <w:sz w:val="22"/>
        </w:rPr>
        <w:t xml:space="preserve">. </w:t>
      </w:r>
      <w:r>
        <w:rPr>
          <w:rFonts w:ascii="Times New Roman;sans-serif" w:hAnsi="Times New Roman;sans-serif"/>
          <w:b w:val="false"/>
          <w:color w:val="000000"/>
          <w:sz w:val="22"/>
        </w:rPr>
        <w:t>As described above, I acknowledge that the Company’s Confidential Information includes information relating to the Company’s employees, consultants, customers and others, and I will not use or disclose such Confidential Information except as authorized by the Company in advance in writing. I further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Employees, Consultants</w:t>
      </w:r>
      <w:r>
        <w:rPr>
          <w:rFonts w:ascii="Times New Roman;sans-serif" w:hAnsi="Times New Roman;sans-serif"/>
          <w:b/>
          <w:color w:val="000000"/>
          <w:sz w:val="22"/>
        </w:rPr>
        <w:t xml:space="preserve">. </w:t>
      </w:r>
      <w:r>
        <w:rPr>
          <w:rFonts w:ascii="Times New Roman;sans-serif" w:hAnsi="Times New Roman;sans-serif"/>
          <w:b w:val="false"/>
          <w:color w:val="000000"/>
          <w:sz w:val="22"/>
        </w:rPr>
        <w:t>During the term of the Relationship, and for a period of twelve (12) months immediately following the termination of the Relationship for any reason, whether with or without cause, I shall not, directly or indirectly, solicit any of the Company’s employees or consultants to terminate their relationship with the Company, or attempt to solicit employees or consultants of the Company, either for myself or for any other person or entity.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Other Parties</w:t>
      </w:r>
      <w:r>
        <w:rPr>
          <w:rFonts w:ascii="Times New Roman;sans-serif" w:hAnsi="Times New Roman;sans-serif"/>
          <w:b/>
          <w:color w:val="000000"/>
          <w:sz w:val="22"/>
        </w:rPr>
        <w:t xml:space="preserve">. </w:t>
      </w:r>
      <w:r>
        <w:rPr>
          <w:rFonts w:ascii="Times New Roman;sans-serif" w:hAnsi="Times New Roman;sans-serif"/>
          <w:b w:val="false"/>
          <w:color w:val="000000"/>
          <w:sz w:val="22"/>
        </w:rPr>
        <w:t>During the term of the Relationship, I will not influence any of the Company’s clients, licensors, licensees or customers from purchasing Company products or services or solicit or influence or attempt to influence any client, licensor, licensee, customer or other person either directly or indirectly, to direct any purchase of products and/or services to any person, firm, corporation, institution or other entity in competition with the business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u w:val="single"/>
        </w:rPr>
        <w:t>At-Will Relationship</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and acknowledge that, except as may be otherwise explicitly provided in a separate written agreement between the Company and me, my Relationship with the Company is and shall continue to be at-will, as defined under applicable law, meaning that either I or the Company may terminate the Relationship at any time for any reason or no reason, without further obligation or liability, other than those provisions of this Agreement that explicitly continue in effect after the termination of the Relationship.</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10.Representations and Covenants.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Facilitation of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I shall execute promptly, both during and after the end of the Relationship, any proper oath, and to verify any proper document, required to carry out the terms of this Agreement, upon the Company’s written request to do so.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No Conflicts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I represent and warrant that my performance of all the terms of this Agreement does not and will not breach any agreement I have entered into, or will enter into, with any third party, including without limitation any agreement to keep in confidence proprietary information or materials acquired by me in confidence or in trust prior to or during the Relationship. I will not disclose to the Company or use any inventions, confidential or non- public proprietary information or material belonging to any previous client, employer or any other party. I will not induce the Company to use any inventions, confidential or non-public proprietary information, or material belonging to any previous client, employer or any other party. I represent and warrant that I have listed on </w:t>
      </w:r>
      <w:r>
        <w:rPr>
          <w:rFonts w:ascii="Times New Roman;sans-serif" w:hAnsi="Times New Roman;sans-serif"/>
          <w:b w:val="false"/>
          <w:color w:val="000000"/>
          <w:sz w:val="22"/>
          <w:u w:val="single"/>
        </w:rPr>
        <w:t xml:space="preserve">Exhibit </w:t>
      </w:r>
      <w:r>
        <w:rPr>
          <w:rFonts w:ascii="Times New Roman;sans-serif" w:hAnsi="Times New Roman;sans-serif"/>
          <w:b w:val="false"/>
          <w:color w:val="000000"/>
          <w:sz w:val="22"/>
        </w:rPr>
        <w:t>A all agreements (</w:t>
      </w:r>
      <w:r>
        <w:rPr>
          <w:rFonts w:ascii="Times New Roman;sans-serif" w:hAnsi="Times New Roman;sans-serif"/>
          <w:b w:val="false"/>
          <w:i/>
          <w:color w:val="000000"/>
          <w:sz w:val="22"/>
        </w:rPr>
        <w:t xml:space="preserve">e.g., </w:t>
      </w:r>
      <w:r>
        <w:rPr>
          <w:rFonts w:ascii="Times New Roman;sans-serif" w:hAnsi="Times New Roman;sans-serif"/>
          <w:b w:val="false"/>
          <w:color w:val="000000"/>
          <w:sz w:val="22"/>
        </w:rPr>
        <w:t>non- competition agreements, non-solicitation of customers agreements, non-solicitation of employees agreements, confidentiality agreements, inventions agreements, etc.), if any, with a current or former client, employer, or any other person or entity, that may restrict my ability to accept employment with the Company or my ability to recruit or engage customers or service providers on behalf of the Company, or otherwise relate to or restrict my ability to perform my duties for the Company or any obligation I may have to the Company. I shall not enter into any written or oral agreement that conflicts with the provisions of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Voluntary Execution</w:t>
      </w:r>
      <w:r>
        <w:rPr>
          <w:rFonts w:ascii="Times New Roman;sans-serif" w:hAnsi="Times New Roman;sans-serif"/>
          <w:b/>
          <w:color w:val="000000"/>
          <w:sz w:val="22"/>
        </w:rPr>
        <w:t xml:space="preserve">. </w:t>
      </w:r>
      <w:r>
        <w:rPr>
          <w:rFonts w:ascii="Times New Roman;sans-serif" w:hAnsi="Times New Roman;sans-serif"/>
          <w:b w:val="false"/>
          <w:color w:val="000000"/>
          <w:sz w:val="22"/>
        </w:rPr>
        <w:t>I certify and acknowledge that I have carefully read all of the provisions of this Agreement, that I understand and have voluntarily accepted such provisions, and that I will fully and faithfully comply with such provisions.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color w:val="000000"/>
          <w:sz w:val="22"/>
          <w:u w:val="single"/>
        </w:rPr>
        <w:t>Electronic Delivery</w:t>
      </w:r>
      <w:r>
        <w:rPr>
          <w:rFonts w:ascii="Times New Roman;sans-serif" w:hAnsi="Times New Roman;sans-serif"/>
          <w:b/>
          <w:color w:val="000000"/>
          <w:sz w:val="22"/>
        </w:rPr>
        <w:t xml:space="preserve">. </w:t>
      </w:r>
      <w:r>
        <w:rPr>
          <w:rFonts w:ascii="Times New Roman;sans-serif" w:hAnsi="Times New Roman;sans-serif"/>
          <w:b w:val="false"/>
          <w:color w:val="000000"/>
          <w:sz w:val="22"/>
        </w:rPr>
        <w:t>Nothing herein is intended to imply a right to participate in any of the Company’s equity incentive plans, however, if I do participate in such plan(s), the Company may, in its sole discretion, decide to deliver any documents related to my participation in the Company’s equity incentive plan(s) by electronic means or to request my consent to participate in such plan(s) by electronic means. I hereby consent to receive such documents by electronic delivery and agree, if applicable, to participate in such plan(s) through an on-line or electronic system established and maintained by the Company or a third party designated by the Company.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12.Miscellaneous.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Governing Law</w:t>
      </w:r>
      <w:r>
        <w:rPr>
          <w:rFonts w:ascii="Times New Roman;sans-serif" w:hAnsi="Times New Roman;sans-serif"/>
          <w:b/>
          <w:color w:val="000000"/>
          <w:sz w:val="22"/>
        </w:rPr>
        <w:t xml:space="preserve">. </w:t>
      </w:r>
      <w:r>
        <w:rPr>
          <w:rFonts w:ascii="Times New Roman;sans-serif" w:hAnsi="Times New Roman;sans-serif"/>
          <w:b w:val="false"/>
          <w:color w:val="000000"/>
          <w:sz w:val="22"/>
        </w:rPr>
        <w:t>The validity, interpretation, construction and performance of this Agreement, and all acts and transactions pursuant hereto and the rights and obligations of the parties hereto shall be governed, construed and interpreted in accordance with the laws of the state of California, without giving effect to principles of conflicts of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Entire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sets forth the entire agreement and understanding between the Company and me relating to its subject matter and merges all prior discussions between us. No amendment to this Agreement will be effective unless in writing signed by both parties to this Agreement. The Company shall not be deemed hereby to have waived any rights or remedies it may have in law or equity, nor to have given any authorizations or waived any of its rights under this Agreement, unless, and only to the extent, it does so by a specific writing signed by a duly authorized officer of the Company, it being understood that, even if I am an officer of the Company, I will not have authority to give any such authorizations or waivers for the Company under this Agreement without specific approval by the Board of Directors. Any subsequent change or changes in my duties, obligations, rights or compensation will not affect the validity or scope of this Agreement.</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Successors and Assigns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will be binding upon my heirs, executors, administrators and other legal representatives, and my successors and assigns, and will be for the benefit of the Company, its successors, and its assigns.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color w:val="000000"/>
          <w:sz w:val="22"/>
          <w:u w:val="single"/>
        </w:rPr>
        <w:t>Notices</w:t>
      </w:r>
      <w:r>
        <w:rPr>
          <w:rFonts w:ascii="Times New Roman;sans-serif" w:hAnsi="Times New Roman;sans-serif"/>
          <w:b/>
          <w:color w:val="000000"/>
          <w:sz w:val="22"/>
        </w:rPr>
        <w:t xml:space="preserve">. </w:t>
      </w:r>
      <w:r>
        <w:rPr>
          <w:rFonts w:ascii="Times New Roman;sans-serif" w:hAnsi="Times New Roman;sans-serif"/>
          <w:b w:val="false"/>
          <w:color w:val="000000"/>
          <w:sz w:val="22"/>
        </w:rPr>
        <w:t>Any notice, demand or request required or permitted to be given under this Agreement shall be in writing and shall be 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color w:val="000000"/>
          <w:sz w:val="22"/>
          <w:u w:val="single"/>
        </w:rPr>
        <w:t>Severability</w:t>
      </w:r>
      <w:r>
        <w:rPr>
          <w:rFonts w:ascii="Times New Roman;sans-serif" w:hAnsi="Times New Roman;sans-serif"/>
          <w:b/>
          <w:color w:val="000000"/>
          <w:sz w:val="22"/>
        </w:rPr>
        <w:t xml:space="preserve">. </w:t>
      </w:r>
      <w:r>
        <w:rPr>
          <w:rFonts w:ascii="Times New Roman;sans-serif" w:hAnsi="Times New Roman;sans-serif"/>
          <w:b w:val="false"/>
          <w:color w:val="000000"/>
          <w:sz w:val="22"/>
        </w:rPr>
        <w:t>If one or more of the provisions in this Agreement are deemed void or unenforceable to any extent in any context, such provisions shall nevertheless be enforced to the fullest extent allowed by law in that and other contexts, and the validity and force of the remainder of this Agreement shall not be affected. The Company and I have attempted to limit my right to use, maintain and disclose the Company’s Confidential Information, and to limit my right to solicit employees and customers only to the extent necessary to protect the Company from unfair competition. Should a court of competent jurisdiction determine that the scope of the covenants contained in Section 8 exceeds the maximum restrictiveness such court deems reasonable and enforceable, the parties intend that the court should reform, modify and enforce the provision to such narrower scope as it determines to be reasonable and enforceable under the circumstances existing at that time.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color w:val="000000"/>
          <w:sz w:val="22"/>
          <w:u w:val="single"/>
        </w:rPr>
        <w:t>Remedies</w:t>
      </w:r>
      <w:r>
        <w:rPr>
          <w:rFonts w:ascii="Times New Roman;sans-serif" w:hAnsi="Times New Roman;sans-serif"/>
          <w:b/>
          <w:color w:val="000000"/>
          <w:sz w:val="22"/>
        </w:rPr>
        <w:t xml:space="preserve">. </w:t>
      </w:r>
      <w:r>
        <w:rPr>
          <w:rFonts w:ascii="Times New Roman;sans-serif" w:hAnsi="Times New Roman;sans-serif"/>
          <w:b w:val="false"/>
          <w:color w:val="000000"/>
          <w:sz w:val="22"/>
        </w:rPr>
        <w:t>I acknowledge that violation of this Agreement by me may cause the Company irreparable harm, and therefore I agree that the Company will be entitled to seek extraordinary relief in court, including, but not limited to, temporary restraining orders, preliminary injunctions and permanent injunctions without the necessity of posting a bond or other security (or, where such a bond or security is required, that a $1,000 bond will be adequate), in addition to and without prejudice to any other rights or remedies that the Company may have for a breach of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Advice of Counsel</w:t>
      </w:r>
      <w:r>
        <w:rPr>
          <w:rFonts w:ascii="Times New Roman;sans-serif" w:hAnsi="Times New Roman;sans-serif"/>
          <w:b w:val="false"/>
          <w:color w:val="000000"/>
          <w:sz w:val="22"/>
        </w:rPr>
        <w:t>. I ACKNOWLEDGE THAT, IN EXECUTING THIS AGREEMENT, I HAVE HAD THE OPPORTUNITY TO SEEK THE ADVICE OF INDEPENDENT LEGAL COUNSEL, AND I HAVE READ AND UNDERSTOOD ALL OF THE TERMS AND PROVISIONS OF THIS AGREEMENT. THIS AGREEMENT SHALL NOT BE CONSTRUED AGAINST ANY PARTY BY REASON OF THE DRAFTING OR PREPARATION HEREOF.</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h.</w:t>
      </w:r>
      <w:r>
        <w:rPr>
          <w:rFonts w:ascii="Times New Roman;sans-serif" w:hAnsi="Times New Roman;sans-serif"/>
          <w:b/>
          <w:color w:val="000000"/>
          <w:sz w:val="22"/>
          <w:u w:val="single"/>
        </w:rPr>
        <w:t>Counterparts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may be executed in any number of counterparts, each of which when so executed and 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pStyle w:val="TextBody"/>
        <w:bidi w:val="0"/>
        <w:spacing w:before="0" w:after="0"/>
        <w:jc w:val="both"/>
        <w:rPr/>
      </w:pPr>
      <w:r>
        <w:rPr/>
      </w:r>
    </w:p>
    <w:p>
      <w:pPr>
        <w:pStyle w:val="TextBody"/>
        <w:bidi w:val="0"/>
        <w:spacing w:lineRule="auto" w:line="288" w:before="0" w:after="0"/>
        <w:ind w:left="0" w:right="0" w:firstLine="1506"/>
        <w:jc w:val="both"/>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have executed this Confidential Information and Invention Assignment Agreement on the respective dates set forth below, to be effective as of the Effective Date first above written.</w:t>
      </w:r>
    </w:p>
    <w:p>
      <w:pPr>
        <w:pStyle w:val="TextBody"/>
        <w:bidi w:val="0"/>
        <w:spacing w:before="0" w:after="0"/>
        <w:jc w:val="both"/>
        <w:rPr/>
      </w:pPr>
      <w:r>
        <w:rPr/>
      </w:r>
    </w:p>
    <w:tbl>
      <w:tblPr>
        <w:tblW w:w="6938" w:type="dxa"/>
        <w:jc w:val="left"/>
        <w:tblInd w:w="0" w:type="dxa"/>
        <w:tblLayout w:type="fixed"/>
        <w:tblCellMar>
          <w:top w:w="28" w:type="dxa"/>
          <w:left w:w="28" w:type="dxa"/>
          <w:bottom w:w="28" w:type="dxa"/>
          <w:right w:w="28" w:type="dxa"/>
        </w:tblCellMar>
      </w:tblPr>
      <w:tblGrid>
        <w:gridCol w:w="695"/>
        <w:gridCol w:w="611"/>
        <w:gridCol w:w="613"/>
        <w:gridCol w:w="953"/>
        <w:gridCol w:w="953"/>
        <w:gridCol w:w="958"/>
        <w:gridCol w:w="109"/>
        <w:gridCol w:w="109"/>
        <w:gridCol w:w="109"/>
        <w:gridCol w:w="199"/>
        <w:gridCol w:w="199"/>
        <w:gridCol w:w="201"/>
        <w:gridCol w:w="358"/>
        <w:gridCol w:w="358"/>
        <w:gridCol w:w="513"/>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THE COMPANY:</w:t>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LIFE360,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Chris Hulls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EMPLOYEE: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Charles "CJ" Prober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11/22/2021</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Charles "CJ" Prober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Menlo Park, CA 94025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0" w:after="0"/>
        <w:jc w:val="center"/>
        <w:rPr/>
      </w:pPr>
      <w:r>
        <w:rPr/>
      </w:r>
    </w:p>
    <w:p>
      <w:pPr>
        <w:pStyle w:val="TextBody"/>
        <w:bidi w:val="0"/>
        <w:spacing w:lineRule="auto" w:line="288" w:before="0" w:after="0"/>
        <w:ind w:left="0" w:right="0" w:firstLine="1508"/>
        <w:jc w:val="center"/>
        <w:rPr>
          <w:rFonts w:ascii="Times New Roman;sans-serif" w:hAnsi="Times New Roman;sans-serif"/>
          <w:b/>
          <w:color w:val="000000"/>
          <w:sz w:val="22"/>
        </w:rPr>
      </w:pPr>
      <w:r>
        <w:rPr>
          <w:rFonts w:ascii="Times New Roman;sans-serif" w:hAnsi="Times New Roman;sans-serif"/>
          <w:b/>
          <w:color w:val="000000"/>
          <w:sz w:val="22"/>
        </w:rPr>
        <w:t>LIST OF PRIOR INVENTIONS</w:t>
      </w:r>
    </w:p>
    <w:p>
      <w:pPr>
        <w:pStyle w:val="TextBody"/>
        <w:bidi w:val="0"/>
        <w:spacing w:lineRule="auto" w:line="288" w:before="0" w:after="0"/>
        <w:ind w:left="0" w:right="0" w:firstLine="1507"/>
        <w:jc w:val="center"/>
        <w:rPr>
          <w:rFonts w:ascii="Times New Roman;sans-serif" w:hAnsi="Times New Roman;sans-serif"/>
          <w:b/>
          <w:color w:val="000000"/>
          <w:sz w:val="22"/>
        </w:rPr>
      </w:pPr>
      <w:r>
        <w:rPr>
          <w:rFonts w:ascii="Times New Roman;sans-serif" w:hAnsi="Times New Roman;sans-serif"/>
          <w:b/>
          <w:color w:val="000000"/>
          <w:sz w:val="22"/>
        </w:rPr>
        <w:t>AND ORIGINAL WORKS OF AUTHORSHIP</w:t>
      </w:r>
    </w:p>
    <w:p>
      <w:pPr>
        <w:pStyle w:val="TextBody"/>
        <w:bidi w:val="0"/>
        <w:spacing w:lineRule="auto" w:line="288" w:before="0" w:after="0"/>
        <w:ind w:left="0" w:right="0" w:firstLine="1508"/>
        <w:jc w:val="center"/>
        <w:rPr>
          <w:rFonts w:ascii="Times New Roman;sans-serif" w:hAnsi="Times New Roman;sans-serif"/>
          <w:b/>
          <w:color w:val="000000"/>
          <w:sz w:val="22"/>
        </w:rPr>
      </w:pPr>
      <w:r>
        <w:rPr>
          <w:rFonts w:ascii="Times New Roman;sans-serif" w:hAnsi="Times New Roman;sans-serif"/>
          <w:b/>
          <w:color w:val="000000"/>
          <w:sz w:val="22"/>
        </w:rPr>
        <w:t>EXCLUDED UNDER SECTION 4(a) AND CONFLICTING AGREEMENTS DISCLOSED UNDER SECTION 10(b)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list of (i) all Inventions that, as of the Effective Date: (A) have been created by me or on my behalf, and/or (B) are owned exclusively by me or jointly by me with others or in which I have an interest, and that relate in any way to any of the Company’s actual or proposed businesses, products, services, or research and development, and which are not assigned to the Company hereunder and (ii) all agreements, if any, with a current or former client, employer, or any other person or entity, that may restrict my ability to accept employment with the Company or my ability to recruit or engage customers or service providers on behalf of the Company, or otherwise relate to or restrict my ability to perform my duties for the Company or any obligation I may have to the Company:</w:t>
      </w:r>
    </w:p>
    <w:tbl>
      <w:tblPr>
        <w:tblW w:w="4577" w:type="dxa"/>
        <w:jc w:val="left"/>
        <w:tblInd w:w="0" w:type="dxa"/>
        <w:tblLayout w:type="fixed"/>
        <w:tblCellMar>
          <w:top w:w="28" w:type="dxa"/>
          <w:left w:w="28" w:type="dxa"/>
          <w:bottom w:w="28" w:type="dxa"/>
          <w:right w:w="28" w:type="dxa"/>
        </w:tblCellMar>
      </w:tblPr>
      <w:tblGrid>
        <w:gridCol w:w="190"/>
        <w:gridCol w:w="167"/>
        <w:gridCol w:w="169"/>
        <w:gridCol w:w="165"/>
        <w:gridCol w:w="165"/>
        <w:gridCol w:w="166"/>
        <w:gridCol w:w="1039"/>
        <w:gridCol w:w="1039"/>
        <w:gridCol w:w="1477"/>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Identifying Number or Brief Description</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Except as indicated above on this Exhibit, I have no inventions, improvements or original works to disclose pursuant to Section 4(a) of this Agreement and no agreements to disclose pursuant to Section 10(b) of this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Additional sheets attached</w:t>
      </w:r>
    </w:p>
    <w:tbl>
      <w:tblPr>
        <w:tblW w:w="4466" w:type="dxa"/>
        <w:jc w:val="left"/>
        <w:tblInd w:w="0" w:type="dxa"/>
        <w:tblLayout w:type="fixed"/>
        <w:tblCellMar>
          <w:top w:w="28" w:type="dxa"/>
          <w:left w:w="28" w:type="dxa"/>
          <w:bottom w:w="28" w:type="dxa"/>
          <w:right w:w="28" w:type="dxa"/>
        </w:tblCellMar>
      </w:tblPr>
      <w:tblGrid>
        <w:gridCol w:w="781"/>
        <w:gridCol w:w="687"/>
        <w:gridCol w:w="692"/>
        <w:gridCol w:w="643"/>
        <w:gridCol w:w="643"/>
        <w:gridCol w:w="648"/>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Employee: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"CJ" Prober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 of Employee: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"CJ" Prober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ind w:left="0" w:right="0" w:firstLine="1508"/>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Section 2870 of the California Labor Code is as follows: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1.Relate at the time of conception or reduction to practice of the invention to the employer’s business, or actual or demonstrably anticipated research or development of the employer; or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     Result from any work performed by the employee for the employer.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4868"/>
        <w:jc w:val="center"/>
        <w:rPr/>
      </w:pPr>
      <w:r>
        <w:rPr>
          <w:rFonts w:ascii="Times New Roman;sans-serif" w:hAnsi="Times New Roman;sans-serif"/>
          <w:b/>
          <w:color w:val="000000"/>
          <w:sz w:val="22"/>
          <w:u w:val="single"/>
        </w:rPr>
        <w:t>EXHIBIT C</w:t>
      </w:r>
      <w:r>
        <w:rPr>
          <w:color w:val="000000"/>
        </w:rPr>
        <w:t xml:space="preserve"> </w:t>
      </w:r>
    </w:p>
    <w:p>
      <w:pPr>
        <w:pStyle w:val="TextBody"/>
        <w:bidi w:val="0"/>
        <w:spacing w:lineRule="auto" w:line="288" w:before="0" w:after="0"/>
        <w:ind w:left="0" w:right="0" w:firstLine="4868"/>
        <w:jc w:val="center"/>
        <w:rPr>
          <w:rFonts w:ascii="Times New Roman;sans-serif" w:hAnsi="Times New Roman;sans-serif"/>
          <w:b/>
          <w:color w:val="000000"/>
          <w:sz w:val="22"/>
        </w:rPr>
      </w:pPr>
      <w:r>
        <w:rPr>
          <w:rFonts w:ascii="Times New Roman;sans-serif" w:hAnsi="Times New Roman;sans-serif"/>
          <w:b/>
          <w:color w:val="000000"/>
          <w:sz w:val="22"/>
        </w:rPr>
        <w:t>TERMINATION CERTIFICATION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This is to certify that I do not have in my possession, nor have I failed to return, any devices, records, data, notes, reports, proposals, lists, correspondence, specifications, drawings, blueprints, sketches, laboratory notebooks, flow charts, materials, equipment, other documents or property, or copies or reproductions of any aforementioned items belonging to Life360, Inc., a Delaware corporation, its subsidiaries, affiliates, successors or assigns (collectively,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I further certify that I have complied with all the terms of the Company’s Confidential Information and Invention Assignment Agreement (the “</w:t>
      </w:r>
      <w:r>
        <w:rPr>
          <w:rFonts w:ascii="Times New Roman;sans-serif" w:hAnsi="Times New Roman;sans-serif"/>
          <w:b w:val="false"/>
          <w:color w:val="000000"/>
          <w:sz w:val="22"/>
          <w:u w:val="single"/>
        </w:rPr>
        <w:t>Confidentiality</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signed by me, including the reporting of any Inventions (as defined therein), conceived or made by me (solely or jointly with others) covered by the Confidentiality Agreement, and I acknowledge my continuing obligations under the Confidentiality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further agree that, in compliance with the Confidentiality Agreement, I will preserve as confidential all trade secrets, confidential knowledge, data or other proprietary information relating to products, processes, know-how, designs, formulas, developmental or experimental work, computer programs, data bases, other original works of authorship, customer lists, business plans, financial information or other subject matter pertaining to any business of the Company or any of its employees, clients, consultants or licensees.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further agree that for twelve (12) months immediately following the termination of my Relationship with the Company, I shall not either directly or indirectly solicit any of the Company’s employees or consultants to terminate their relationship with the Company, or attempt to solicit employees or consultants of the Company, either for myself or for any other person or entity.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Further, I agree that I shall not use any Confidential Information of the Company to influence any of the Company’s clients or customers from purchasing Company products or services or to solicit or influence or attempt to influence any client, customer or other person either directly or indirectly, to direct any purchase of products and/or services to any person, firm, corporation, institution or other entity in competition with the business of the Company.</w:t>
      </w:r>
    </w:p>
    <w:p>
      <w:pPr>
        <w:pStyle w:val="TextBody"/>
        <w:bidi w:val="0"/>
        <w:spacing w:before="0" w:after="0"/>
        <w:ind w:left="0" w:right="0" w:firstLine="720"/>
        <w:jc w:val="both"/>
        <w:rPr/>
      </w:pPr>
      <w:r>
        <w:rPr/>
      </w:r>
    </w:p>
    <w:tbl>
      <w:tblPr>
        <w:tblW w:w="2859" w:type="dxa"/>
        <w:jc w:val="left"/>
        <w:tblInd w:w="0" w:type="dxa"/>
        <w:tblLayout w:type="fixed"/>
        <w:tblCellMar>
          <w:top w:w="28" w:type="dxa"/>
          <w:left w:w="28" w:type="dxa"/>
          <w:bottom w:w="28" w:type="dxa"/>
          <w:right w:w="28" w:type="dxa"/>
        </w:tblCellMar>
      </w:tblPr>
      <w:tblGrid>
        <w:gridCol w:w="781"/>
        <w:gridCol w:w="687"/>
        <w:gridCol w:w="692"/>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Employee: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 of Employee: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Second Separation Agreement</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222222"/>
          <w:sz w:val="22"/>
        </w:rPr>
        <w:t xml:space="preserve">This Second Separation Agreement and Release of Claims (the “Second Separation Agreement” or “Agreement”) is offered as of the Separation Date pursuant to the Separation Agreement and Release of Claims offered to you on or about January </w:t>
      </w:r>
      <w:r>
        <w:rPr>
          <w:rFonts w:ascii="Times New Roman;sans-serif" w:hAnsi="Times New Roman;sans-serif"/>
          <w:b w:val="false"/>
          <w:color w:val="000000"/>
          <w:sz w:val="22"/>
        </w:rPr>
        <w:t>[_____]</w:t>
      </w:r>
      <w:r>
        <w:rPr>
          <w:rFonts w:ascii="Times New Roman;sans-serif" w:hAnsi="Times New Roman;sans-serif"/>
          <w:b w:val="false"/>
          <w:color w:val="222222"/>
          <w:sz w:val="22"/>
        </w:rPr>
        <w:t>, 2023 (“First Separation Agreement”). It confirms the agreement between you and Life360, Inc. (the “Company”) regarding the termination of your employment with the Company and offers you the consideration described below in exchange for a general release of claims. Capitalized but undefined terms have the definitions set forth in that certain Employment Agreement between you and the Company dated November 22, 2021, as amended on or about April 11, 2022 (collectively the “Employment Agreement”). You acknowledge that, effective January 1, 2023, your employment transitioned from Tile, Inc. to the Company, with the rights and obligations pertaining to your employment with Tile, Inc. under the Employment Agreement transferring to your employment with the Company, such that the terms of your employment with the Company are the same as those of your employment with Tile, Inc., including, but not limited to, the transfer of the provisions of Paragraphs 6 and 7 of the Employment Agreement being applicable, as of January 1, 2023, to your employment with the Company and without the transition of your employment from Tile, Inc. to the Company having triggered any entitlement to any payment, accelerated vesting, or any other entitlement under Paragraphs 6 or 7 of the Employment Agreement except as otherwise set forth herein.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u w:val="single"/>
        </w:rPr>
        <w:t>1.</w:t>
      </w:r>
      <w:r>
        <w:rPr>
          <w:rFonts w:ascii="Times New Roman;sans-serif" w:hAnsi="Times New Roman;sans-serif"/>
          <w:b/>
          <w:color w:val="000000"/>
          <w:sz w:val="22"/>
        </w:rPr>
        <w:t xml:space="preserve">Separation Date. </w:t>
      </w:r>
      <w:r>
        <w:rPr>
          <w:rFonts w:ascii="Times New Roman;sans-serif" w:hAnsi="Times New Roman;sans-serif"/>
          <w:b w:val="false"/>
          <w:color w:val="000000"/>
          <w:sz w:val="22"/>
        </w:rPr>
        <w:t>As set forth in the First Separation Agreement you previously indicated your intent to resign from your employment with the Company for Good Reason pursuant to the terms of the Employment Agreement and have now resigned pursuant to the terms of the First Separation Agreement. Having now resigned, your employment with the Company will be terminated effective [_____] (“Separation Date”). After the Separation Date, you will not say or do anything to any individual or entity in which you purport to bind the Company or any of its affiliates. In addition to the terms of this Second Separation Agreement, you agree to remain bound by any provisions of the Employment Agreement that continue by their terms and under applicable law after the Separation Date.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rPr>
        <w:t>Severance Payment</w:t>
      </w:r>
      <w:r>
        <w:rPr>
          <w:rFonts w:ascii="Times New Roman;sans-serif" w:hAnsi="Times New Roman;sans-serif"/>
          <w:b w:val="false"/>
          <w:color w:val="000000"/>
          <w:sz w:val="22"/>
        </w:rPr>
        <w:t>. Subject to Sections 6 and 7 of the Employment Agreement, the Company shall pay or provide, as applicable, and you shall receive, the payments and benefits set forth in Section 6 of the Employment Agreement in accordance with its terms or as modified by your agreement herein. Specifically, in exchange for your agreement to the general release and waiver of claims set forth below and your other promises herein, the Company will pay you the following payment (“Severance Payment”), to which you are not otherwise entitled and which you acknowledge represent full satisfaction of the Company’s obligations under Sections 6 and 7 of the Employment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a.A lump sum cash amount equal to 12 months of your base salary, which equals a total lump sum cash amount of $400,000 and is subject to applicable payroll deductions and withholdings. This lump sum will be payable on or before the seventh (7</w:t>
      </w:r>
      <w:r>
        <w:rPr>
          <w:rFonts w:ascii="Times New Roman;sans-serif" w:hAnsi="Times New Roman;sans-serif"/>
          <w:b w:val="false"/>
          <w:color w:val="000000"/>
          <w:sz w:val="14"/>
        </w:rPr>
        <w:t>th</w:t>
      </w:r>
      <w:r>
        <w:rPr>
          <w:rFonts w:ascii="Times New Roman;sans-serif" w:hAnsi="Times New Roman;sans-serif"/>
          <w:b w:val="false"/>
          <w:color w:val="000000"/>
          <w:sz w:val="22"/>
        </w:rPr>
        <w:t>) calendar day following the Effective Date.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b.A lump sum cash amount equal to your Target Bonus Amount, which equals a total lump sum cash amount of $300,000 and is subject to applicable payroll deductions and withholdings. This lump sum will be payable on or before the seventh (7</w:t>
      </w:r>
      <w:r>
        <w:rPr>
          <w:rFonts w:ascii="Times New Roman;sans-serif" w:hAnsi="Times New Roman;sans-serif"/>
          <w:b w:val="false"/>
          <w:color w:val="000000"/>
          <w:sz w:val="14"/>
        </w:rPr>
        <w:t>th</w:t>
      </w:r>
      <w:r>
        <w:rPr>
          <w:rFonts w:ascii="Times New Roman;sans-serif" w:hAnsi="Times New Roman;sans-serif"/>
          <w:b w:val="false"/>
          <w:color w:val="000000"/>
          <w:sz w:val="22"/>
        </w:rPr>
        <w:t>) calendar day following the Effective Date.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rPr>
        <w:t>COBRA</w:t>
      </w:r>
      <w:r>
        <w:rPr>
          <w:rFonts w:ascii="Times New Roman;sans-serif" w:hAnsi="Times New Roman;sans-serif"/>
          <w:b w:val="false"/>
          <w:color w:val="000000"/>
          <w:sz w:val="22"/>
        </w:rPr>
        <w:t>. You will receive information about your right to continue your group health insurance coverage under the Consolidated Omnibus Budget Reconciliation Act (“COBRA”) after the Separation Date. In order to continue your coverage, you must complete and file the required election form within the required timeframe. If you sign this Agreement and elect to continue group health insurance coverage, then the Company will directly pay or reimburse you for the premiums required to continue your and your covered dependents’ current Company-provided health coverage pursuant to the provisions of COBRA, until the earliest of (a) the end of the first anniversary of the Separation Date and (b) the date you and your covered dependents, if any, become eligible for health coverage under another employer’s plans. You acknowledge that you otherwise would not have been entitled to any continuation of Company-paid health insurance. You must submit proof of your COBRA premium payments to the Company to receive the COBRA reimbursements. Requests for reimbursement (along with proof of payment of the premium amounts) must be submitted to the Company within ninety (90) days of being incurred to be reimbursable. Reimbursement will be processed with the next regular payroll cycle after receipt of the request and proof of payment. COBRA reimbursements are not taxable income and will be reimbursed in full according to your direct deposit setup in the Company’s payroll system.</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rPr>
        <w:t xml:space="preserve">Equity Awards. </w:t>
      </w:r>
      <w:r>
        <w:rPr>
          <w:rFonts w:ascii="Times New Roman;sans-serif" w:hAnsi="Times New Roman;sans-serif"/>
          <w:b w:val="false"/>
          <w:color w:val="000000"/>
          <w:sz w:val="22"/>
        </w:rPr>
        <w:t>To the extent that the Company has granted you Restricted Stock Units (“RSU’s”) and/or an option or options to purchase shares of its Common Stock (the “Option(s)”), such equity awards shall not be subject to accelerated vesting as set forth in Paragraph 6(a) of the Employment Agreement, nor shall you be entitled to accelerated vesting of the Retention Equity Award set forth in the Employment Agreement provided for in Paragraph 6(a) of the Employment Agreement. Instead, the Company agrees to engage you as a consultant pursuant to the Consulting Agreement attached hereto as Exhibit A and to cause all Option(s) and/or RSU’s granted to you, to the extent valid as of the Separation Date, to continue in their applicable vesting schedules through July 6, 2024, governed by the terms of the agreements that currently apply to each such Option and/or RSU (provided, however, that if such vesting ceases by virtue of a Change of Control, or would violate any regulatory provisions, including, without limitation, any regulations with respect to the Australian Securities Exchange, then such vesting shall not occur and you and Company shall, in good faith, consider alternative arrangements designed to provide similar economic value to you). In addition, any cash and equity that you revested in connection with the Merger will be released to you on the Separation Date.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rPr>
        <w:t xml:space="preserve">Annual Performance Bonus. </w:t>
      </w:r>
      <w:r>
        <w:rPr>
          <w:rFonts w:ascii="Times New Roman;sans-serif" w:hAnsi="Times New Roman;sans-serif"/>
          <w:b w:val="false"/>
          <w:color w:val="000000"/>
          <w:sz w:val="22"/>
        </w:rPr>
        <w:t>As of the Separation Date, you shall be deemed to have earned an Annual Performance Bonus prorated for the first half of 2023, calculated as follows: 50% of your Target Bonus Amount for individual qualitative performance will be paid in full and the other 50% of your Target Bonus Amount shall be subject to the percentage figure approved by the Company’s Remuneration Committee for company performance and applied generally to executive bonuses. This bonus amount shall be payable during the first half of 2023 bonus pay period applicable to executives. You agree and acknowledge that, other than the bonus set forth in this paragraph and the second half of your annual bonus for 2022 that is payable in Q1 2023 (which will be paid out at a level consistent with similarly situated executives), you will not be entitled to any other Annual Performance Bonus that you have not already been paid as of the date you sign this Agreement.</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rPr>
        <w:t xml:space="preserve">General Release. </w:t>
      </w:r>
      <w:r>
        <w:rPr>
          <w:rFonts w:ascii="Times New Roman;sans-serif" w:hAnsi="Times New Roman;sans-serif"/>
          <w:b w:val="false"/>
          <w:color w:val="000000"/>
          <w:sz w:val="22"/>
        </w:rPr>
        <w:t xml:space="preserve">In consideration for receiving the Severance Payment and other benefits described above, the sufficiency of which as consideration you hereby acknowledge, to the fullest extent permitted by applicable law, you waive, release and promise never to assert any claims or causes of action, whether or not now known, against the Company or any of their related entities, affiliated companies, predecessors, successors or past or present subsidiaries, stockholders, directors, officers, employees, consultants, attorneys, agents, assigns and employee benefit plans (collectively the “Releasees”) with respect to any matter, including (without limitation) any matter related to your employment with the Company or any other of the Releasees or the termination of that employment, including (without limitation) claims or demands related to base pay, salary, bonuses, commissions, stock, stock options,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stock-based compensation or any other equity and/or ownership interests in the Company, vacation/paid time off, fringe benefits, expense reimbursements, severance pay or any other form of compensation, attorneys’ fees or costs, claims of wrongful discharge, constructive discharge, emotional distress, defamation, invasion of privacy, fraud, breach of contract or breach of the covenant of good faith and fair dealing and any claims of discrimination or harassment based on sex, age, race, national origin, disability or any other basis under Title VII of the Civil Rights Act of 1964, the California Fair Employment and Housing Act, the California Labor Code, the Private Attorneys General Act (“PAGA”), the Age Discrimination in Employment Act of 1967, the Americans with Disabilities Act, the Fair Labor Standards Act, the National Labor Relations Act, the Family and Medical Leave Act, the Employee Retirement Income Security Act of 1974, as amended (“ERISA”), the Workers Adjustment and Retraining Notification Act and all other laws and regulations relating to employment. However, this release covers only those claims that arose prior to the execution of this Agreement and only those claims that may be waived by applicable law. Execution of this Agreement does not bar (a) any claim that arises hereafter, including (without limitation) a claim for breach of this Agreement, (b) any claim for coverage under any D&amp;O or other insurance policy, (c) any claim to indemnification under Section 2802 of the California Labor Code, any agreement with the Company or otherwise, (d) any right you have to file or pursue a claim for workers’ compensation or unemployment insurance, or (e) any rights which are not waivable as a matter of law.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covenant not to sue any of the Releasees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any of the Releasees, except as required by law.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this Agreement does not limit your ability to file a charge or complaint with the Equal Employment Opportunity Commission, the Securities and Exchange Commission or any other federal, state or local governmental agency or commission (each, a “Government Agency”), except that you acknowledge and agree and hereby waive your right to any monetary benefits in connection with any such claim, charge or proceeding before the Equal Employment Opportunity Commission, the Securities and Exchange Commission, or any analogous federal, state or other government agency, to the extent allowed by applicable law. You further understand that this Agreement does not limit your ability to communicate with, or otherwise participate in any investigation or proceeding that may be conducted by, a Government Agency. Notwithstanding anything to the contrary herein, this Agreement does not limit your right to receive a statutory award for information provided to the Securities and Exchange Commission.</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7.</w:t>
      </w:r>
      <w:r>
        <w:rPr>
          <w:rFonts w:ascii="Times New Roman;sans-serif" w:hAnsi="Times New Roman;sans-serif"/>
          <w:b/>
          <w:color w:val="000000"/>
          <w:sz w:val="22"/>
        </w:rPr>
        <w:t>Effective Date, Acknowledgment of Waiver of Claims under ADEA</w:t>
      </w:r>
      <w:r>
        <w:rPr>
          <w:rFonts w:ascii="Times New Roman;sans-serif" w:hAnsi="Times New Roman;sans-serif"/>
          <w:b w:val="false"/>
          <w:color w:val="000000"/>
          <w:sz w:val="22"/>
        </w:rPr>
        <w:t xml:space="preserve">. You acknowledge that you are knowingly and voluntarily waiving and releasing any rights you may have under the Age Discrimination in Employment Act of 1967 (ADEA) and the Older Workers Benefit Protection Act (OWBPA). You agree that this waiver and release does not apply to any rights or claims that may arise under the ADEA or OWBPA after the Effective Date of this Agreement (defined below). You also acknowledge that the consideration given for the waiver and release herein is in addition to anything of value to which you were already entitled. You further acknowledge that you have been advised by this writing, as required by the ADEA, that (a) your waiver and release do not apply to any rights or claims that may arise after the execution date of this Agreement; (b) you are advised hereby to consult with an attorney before signing this Agreement; (c) you have up to twenty-one (21) days from the date you receive this Agreement to execute this Agreement (although you may choose to knowingly and voluntarily execute this Agreement earlier, as signified by the date and signature below); (d) you have seven (7) days following your execution of this Agreement to revoke the Agreement; and (e) this Agreement will not be effective until the date upon which the revocation period has expired, which will be the eighth day after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is executed by you (the “Effective Date”); (f) the Company has no obligation to provide any of the sums or consideration or perform any act referred to in this Agreement until it becomes effective and enforceable; (g) you have carefully read, and understand, all of the provisions of this Agreement; and (h) this Agreement does not affect your ability to test the knowing and voluntary nature of this Agreement. You acknowledge that any such revocation must be made by delivering a written notice of revocation to Life360, Attention: Human Resources and for such revocation to be effective, notice must be received no later than 11:59 PM (Pacific Time) on the seventh (7th) calendar day after you execute this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rPr>
        <w:t xml:space="preserve">Confidential Information and Invention Assignment Agreement. </w:t>
      </w:r>
      <w:r>
        <w:rPr>
          <w:rFonts w:ascii="Times New Roman;sans-serif" w:hAnsi="Times New Roman;sans-serif"/>
          <w:b w:val="false"/>
          <w:color w:val="000000"/>
          <w:sz w:val="22"/>
        </w:rPr>
        <w:t>At all times in the future, you will remain bound by the Confidential Information and Invention Assignment Agreement you signed upon joining the Company, and as updated throughout your employment, and a copy of which is attached as Exhibit B, and that this Agreement does not modify or impact such Confidential Information and Invention Assignment Agreement or your obligations under such agreement in any way. You further acknowledge that as a result of your employment with the Company you have had access to the Company’s Confidential Information (as defined in Confidential Information and Invention Assignment Agreement), that you will hold all Confidential Information in strictest confidence and that you will not make use of such Confidential Information on behalf of anyone. Except as expressly provided in this Agreement, this Agreement renders null and void all prior agreements between you and the Company and constitutes the entire agreement between you and the Company regarding the subject matter of this Agreement. This Agreement may be modified only in a written document signed by you and a duly authorized officer of the Company.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rPr>
        <w:t>DTSA Notice</w:t>
      </w:r>
      <w:r>
        <w:rPr>
          <w:rFonts w:ascii="Times New Roman;sans-serif" w:hAnsi="Times New Roman;sans-serif"/>
          <w:b w:val="false"/>
          <w:color w:val="000000"/>
          <w:sz w:val="22"/>
        </w:rPr>
        <w:t>. Pursuant to the federal Defend Trade Secrets Act of 2016 (“DTSA”), you shall not be held criminally or civilly liable under the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to the your attorney in relation to a lawsuit for retaliation against you for reporting a suspected violation of law; or (iii) is made in a complaint or other document filed in a lawsuit or other proceeding, if such filing is made under seal and the trade secret is not disclosed except pursuant to court order. Under proper circumstances the DTSA may provide a limited exception to your obligations of confidentiality to Company.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color w:val="000000"/>
          <w:sz w:val="22"/>
        </w:rPr>
        <w:t xml:space="preserve">Expense Reimbursements. </w:t>
      </w:r>
      <w:r>
        <w:rPr>
          <w:rFonts w:ascii="Times New Roman;sans-serif" w:hAnsi="Times New Roman;sans-serif"/>
          <w:b w:val="false"/>
          <w:color w:val="000000"/>
          <w:sz w:val="22"/>
        </w:rPr>
        <w:t>You agree that, on or within ten (10) days after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color w:val="000000"/>
          <w:sz w:val="22"/>
        </w:rPr>
        <w:t xml:space="preserve">Company Property. </w:t>
      </w:r>
      <w:r>
        <w:rPr>
          <w:rFonts w:ascii="Times New Roman;sans-serif" w:hAnsi="Times New Roman;sans-serif"/>
          <w:b w:val="false"/>
          <w:color w:val="000000"/>
          <w:sz w:val="22"/>
        </w:rPr>
        <w:t>Within five (5) business days after your contemplated advisory period ends (or earlier if requested by the Company), you will return to the Company all Company owned documents (and all copies thereof) and other Company property in your possession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monitors,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agree that you will make a diligent search to locate any such documents, property and information within the timeframe referenced above. In addition, if you have used any personally-owned computer, server, or email system to receive, store, review, prepare or transmit any confidential or proprietary data, materials or information of the Company, then within five (5) business days after your contemplated advisory period ends (or earlier if requested by the Company), you must provide the Company with a computer-useable copy of such information and then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12.</w:t>
      </w:r>
      <w:r>
        <w:rPr>
          <w:rFonts w:ascii="Times New Roman;sans-serif" w:hAnsi="Times New Roman;sans-serif"/>
          <w:b/>
          <w:color w:val="000000"/>
          <w:sz w:val="22"/>
        </w:rPr>
        <w:t>Acknowledgements and Representations</w:t>
      </w:r>
      <w:r>
        <w:rPr>
          <w:rFonts w:ascii="Times New Roman;sans-serif" w:hAnsi="Times New Roman;sans-serif"/>
          <w:b w:val="false"/>
          <w:color w:val="000000"/>
          <w:sz w:val="22"/>
        </w:rPr>
        <w:t>. You acknowledge and represent that you have not suffered any discrimination, harassment, or retaliation by any of the Releasees on account of your race, gender, national origin, religion, marital or registered domestic partner status, sexual orientation, age, disability, medical condition, or any other characteristic protected by law. You acknowledge and represent that you have not been denied any leave, benefits, or rights to which you may have been entitled under the FMLA, CFRA or any other federal or state law, and that you have not suffered any job-related wrongs or injuries for which you might still be entitled to compensation or relief. You certify that you have not failed to report any work-related injuries or illnesses arising out of or in the course and scope of your employment with the Company. You further acknowledge and represent that, except as expressly provided in this Agreement, you have been paid all earned wages, bonuses, compensation, benefits and other amounts that any of the Released Parties have ever owed to you, and you understand that you will not receive any additional compensation, severance, or benefits after the Separation Date, with the exception of any vested right you may have under the terms of a written ERISA- qualified benefit plan.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color w:val="000000"/>
          <w:sz w:val="22"/>
        </w:rPr>
        <w:t xml:space="preserve">Waiver. </w:t>
      </w:r>
      <w:r>
        <w:rPr>
          <w:rFonts w:ascii="Times New Roman;sans-serif" w:hAnsi="Times New Roman;sans-serif"/>
          <w:b w:val="false"/>
          <w:color w:val="000000"/>
          <w:sz w:val="22"/>
        </w:rPr>
        <w:t>You expressly waive and release any and all rights and benefits under Section 1542 of the California Civil Code (or any analogous law of any other state), which reads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14.</w:t>
      </w:r>
      <w:r>
        <w:rPr>
          <w:rFonts w:ascii="Times New Roman;sans-serif" w:hAnsi="Times New Roman;sans-serif"/>
          <w:b/>
          <w:color w:val="000000"/>
          <w:sz w:val="22"/>
        </w:rPr>
        <w:t xml:space="preserve">No Admission. </w:t>
      </w:r>
      <w:r>
        <w:rPr>
          <w:rFonts w:ascii="Times New Roman;sans-serif" w:hAnsi="Times New Roman;sans-serif"/>
          <w:b w:val="false"/>
          <w:color w:val="000000"/>
          <w:sz w:val="22"/>
        </w:rPr>
        <w:t>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15.</w:t>
      </w:r>
      <w:r>
        <w:rPr>
          <w:rFonts w:ascii="Times New Roman;sans-serif" w:hAnsi="Times New Roman;sans-serif"/>
          <w:b/>
          <w:color w:val="000000"/>
          <w:sz w:val="22"/>
        </w:rPr>
        <w:t>No Actions or Claims</w:t>
      </w:r>
      <w:r>
        <w:rPr>
          <w:rFonts w:ascii="Times New Roman;sans-serif" w:hAnsi="Times New Roman;sans-serif"/>
          <w:b w:val="false"/>
          <w:color w:val="000000"/>
          <w:sz w:val="22"/>
        </w:rPr>
        <w:t>. Except as otherwise described in Paragraph 6, you represent that you have not filed any charges, complaints, grievances, arbitrations, lawsuits, or claims against the Company, with any local, state or federal agency, union or court from the beginning of time to the date of execution of this Agreement and that you will not do so at any time hereafter, based upon events occurring prior to the date of execution of this Agreement. In the event any court ever assumes jurisdiction of any lawsuit, claim, charge, grievance, arbitration, or complaint, or purports to bring any legal proceeding on your behalf, you will ask any such agency, union or court to withdraw from and/or dismiss any such action or grievance, with prejudice to the extent permitted by law.</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16.</w:t>
      </w:r>
      <w:r>
        <w:rPr>
          <w:rFonts w:ascii="Times New Roman;sans-serif" w:hAnsi="Times New Roman;sans-serif"/>
          <w:b/>
          <w:color w:val="000000"/>
          <w:sz w:val="22"/>
        </w:rPr>
        <w:t>Confidentiality of Agreement</w:t>
      </w:r>
      <w:r>
        <w:rPr>
          <w:rFonts w:ascii="Times New Roman;sans-serif" w:hAnsi="Times New Roman;sans-serif"/>
          <w:b w:val="false"/>
          <w:color w:val="000000"/>
          <w:sz w:val="22"/>
        </w:rPr>
        <w:t>. You agree that this Agreement does not involve any claim against the Company or any of the Released Parties for discrimination, retaliation, sexual harassment or assault, or retaliation. Accordingly, you agree that you will not disclose to others the existence or terms of this Agreement, except that you may disclose such information to Government Agencies or to your spouse, attorney or tax adviser if such individuals agree that they will not disclose to others the existence or terms of this Agreement, to the extent allowed under the law. This Agreement does not prevent or restrict the disclosure of factual information related to any claim filed in a civil action or a complaint filed in an administrative action regarding an act of sexual assault, an act of sexual harassment, an act of workplace harassment or discrimination, failure to prevent an act of workplace harassment or discrimination, or an act of retaliation against a person for reporting or opposing harassment or discrimination.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17.</w:t>
      </w:r>
      <w:r>
        <w:rPr>
          <w:rFonts w:ascii="Times New Roman;sans-serif" w:hAnsi="Times New Roman;sans-serif"/>
          <w:b/>
          <w:color w:val="000000"/>
          <w:sz w:val="22"/>
        </w:rPr>
        <w:t xml:space="preserve">No Disparagement. </w:t>
      </w:r>
      <w:r>
        <w:rPr>
          <w:rFonts w:ascii="Times New Roman;sans-serif" w:hAnsi="Times New Roman;sans-serif"/>
          <w:b w:val="false"/>
          <w:color w:val="000000"/>
          <w:sz w:val="22"/>
        </w:rPr>
        <w:t>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Agreement prevents you from discussing or disclosing information about unlawful acts in the workplace, such as harassment or discrimination or any other conduct that you have reason to believe is unlawful. Nothing in this section or in this Agreement shall prohibit you from providing truthful information in response to a subpoena, court order, written request from an administrative agency or legislature, or other law or legal process.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18.</w:t>
      </w:r>
      <w:r>
        <w:rPr>
          <w:rFonts w:ascii="Times New Roman;sans-serif" w:hAnsi="Times New Roman;sans-serif"/>
          <w:b/>
          <w:color w:val="000000"/>
          <w:sz w:val="22"/>
        </w:rPr>
        <w:t xml:space="preserve">Severability. </w:t>
      </w:r>
      <w:r>
        <w:rPr>
          <w:rFonts w:ascii="Times New Roman;sans-serif" w:hAnsi="Times New Roman;sans-serif"/>
          <w:b w:val="false"/>
          <w:color w:val="000000"/>
          <w:sz w:val="22"/>
        </w:rPr>
        <w:t>If any term of this Agreement is held to be invalid, void or unenforceable, the remainder of this Agreement will remain in full force and effect and will in no way be affected, and the parties will use their best efforts to find an alternate way to achieve the same result.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19.</w:t>
      </w:r>
      <w:r>
        <w:rPr>
          <w:rFonts w:ascii="Times New Roman;sans-serif" w:hAnsi="Times New Roman;sans-serif"/>
          <w:b/>
          <w:color w:val="000000"/>
          <w:sz w:val="22"/>
        </w:rPr>
        <w:t xml:space="preserve">Choice of Law. </w:t>
      </w:r>
      <w:r>
        <w:rPr>
          <w:rFonts w:ascii="Times New Roman;sans-serif" w:hAnsi="Times New Roman;sans-serif"/>
          <w:b w:val="false"/>
          <w:color w:val="000000"/>
          <w:sz w:val="22"/>
        </w:rPr>
        <w:t>This Agreement will be construed and interpreted in accordance with the laws of the State of California (other than their choice-of-law provisions).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20.</w:t>
      </w:r>
      <w:r>
        <w:rPr>
          <w:rFonts w:ascii="Times New Roman;sans-serif" w:hAnsi="Times New Roman;sans-serif"/>
          <w:b/>
          <w:color w:val="000000"/>
          <w:sz w:val="22"/>
        </w:rPr>
        <w:t>Miscellaneous</w:t>
      </w:r>
      <w:r>
        <w:rPr>
          <w:rFonts w:ascii="Times New Roman;sans-serif" w:hAnsi="Times New Roman;sans-serif"/>
          <w:b w:val="false"/>
          <w:color w:val="000000"/>
          <w:sz w:val="22"/>
        </w:rPr>
        <w:t>. This Agreement, together with Exhibits,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This Agreement may be executed in counterparts, each of which will be considered an original, but all of which together will constitute one agreement. Execution of a facsimile copy or PDF will have the same force and effect as execution of an original, and a facsimile signature or PDF signature will be deemed an original and valid signature.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If this Agreement is acceptable to you, please sign and date the appropriate area below, electronically, and return the signed agreement via DocuSign on or before the 21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day after your receipt of this Agreement. The Company’s offer contained herein will automatically expire if we do not receive the fully signed Agreement within this timeframe.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wish you the best in your future endeavors.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John Coghlan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Chairman of the Board</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2"/>
        </w:rPr>
        <w:t>ACCEPTED AND AGREED</w:t>
      </w:r>
      <w:r>
        <w:rPr>
          <w:rFonts w:ascii="Times New Roman;sans-serif" w:hAnsi="Times New Roman;sans-serif"/>
          <w:b w:val="false"/>
          <w:color w:val="000000"/>
          <w:sz w:val="22"/>
        </w:rPr>
        <w:br/>
        <w:t>I agree to the terms of this Agreement, and I am voluntarily signing this release of all claims. I acknowledge that I have read and understand this Agreement, and I understand that I cannot pursue any of the claims and rights that I have waived in this Agreement at any time in the future.</w:t>
      </w:r>
    </w:p>
    <w:p>
      <w:pPr>
        <w:pStyle w:val="TextBody"/>
        <w:bidi w:val="0"/>
        <w:spacing w:before="0" w:after="0"/>
        <w:jc w:val="left"/>
        <w:rPr/>
      </w:pPr>
      <w:r>
        <w:rPr/>
      </w:r>
    </w:p>
    <w:tbl>
      <w:tblPr>
        <w:tblW w:w="3025"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44"/>
        <w:gridCol w:w="144"/>
        <w:gridCol w:w="146"/>
        <w:gridCol w:w="447"/>
        <w:gridCol w:w="447"/>
        <w:gridCol w:w="63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CJ Prober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Charles Prober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AMENDMENT NO. 1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SEPARATION AGREEMENT AND RELEASE OF CLAIMS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THIS AMENDMENT </w:t>
      </w:r>
      <w:r>
        <w:rPr>
          <w:rFonts w:ascii="Times New Roman;sans-serif" w:hAnsi="Times New Roman;sans-serif"/>
          <w:b w:val="false"/>
          <w:color w:val="000000"/>
          <w:sz w:val="22"/>
        </w:rPr>
        <w:t>No. 1 (“</w:t>
      </w:r>
      <w:r>
        <w:rPr>
          <w:rFonts w:ascii="Times New Roman;sans-serif" w:hAnsi="Times New Roman;sans-serif"/>
          <w:b/>
          <w:color w:val="000000"/>
          <w:sz w:val="22"/>
          <w:u w:val="single"/>
        </w:rPr>
        <w:t>Amendment</w:t>
      </w:r>
      <w:r>
        <w:rPr>
          <w:color w:val="000000"/>
        </w:rPr>
        <w:t>”</w:t>
      </w:r>
      <w:r>
        <w:rPr>
          <w:rFonts w:ascii="Times New Roman;sans-serif" w:hAnsi="Times New Roman;sans-serif"/>
          <w:b w:val="false"/>
          <w:color w:val="000000"/>
          <w:sz w:val="22"/>
        </w:rPr>
        <w:t>) is made effective as of May 12, 2023 (“</w:t>
      </w:r>
      <w:r>
        <w:rPr>
          <w:rFonts w:ascii="Times New Roman;sans-serif" w:hAnsi="Times New Roman;sans-serif"/>
          <w:b/>
          <w:color w:val="000000"/>
          <w:sz w:val="22"/>
          <w:u w:val="single"/>
        </w:rPr>
        <w:t>Effective Date</w:t>
      </w:r>
      <w:r>
        <w:rPr>
          <w:color w:val="000000"/>
        </w:rPr>
        <w:t>”</w:t>
      </w:r>
      <w:r>
        <w:rPr>
          <w:rFonts w:ascii="Times New Roman;sans-serif" w:hAnsi="Times New Roman;sans-serif"/>
          <w:b w:val="false"/>
          <w:color w:val="000000"/>
          <w:sz w:val="22"/>
        </w:rPr>
        <w:t xml:space="preserve">) by and between </w:t>
      </w:r>
      <w:r>
        <w:rPr>
          <w:rFonts w:ascii="Times New Roman;sans-serif" w:hAnsi="Times New Roman;sans-serif"/>
          <w:b/>
          <w:color w:val="000000"/>
          <w:sz w:val="22"/>
        </w:rPr>
        <w:t xml:space="preserve">Life360, Inc. </w:t>
      </w:r>
      <w:r>
        <w:rPr>
          <w:rFonts w:ascii="Times New Roman;sans-serif" w:hAnsi="Times New Roman;sans-serif"/>
          <w:b w:val="false"/>
          <w:color w:val="000000"/>
          <w:sz w:val="22"/>
        </w:rPr>
        <w:t>(the “</w:t>
      </w:r>
      <w:r>
        <w:rPr>
          <w:rFonts w:ascii="Times New Roman;sans-serif" w:hAnsi="Times New Roman;sans-serif"/>
          <w:b/>
          <w:color w:val="000000"/>
          <w:sz w:val="22"/>
          <w:u w:val="single"/>
        </w:rPr>
        <w:t>Company</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 xml:space="preserve">Charles Prober </w:t>
      </w:r>
      <w:r>
        <w:rPr>
          <w:rFonts w:ascii="Times New Roman;sans-serif" w:hAnsi="Times New Roman;sans-serif"/>
          <w:b w:val="false"/>
          <w:color w:val="000000"/>
          <w:sz w:val="22"/>
        </w:rPr>
        <w:t>(“</w:t>
      </w:r>
      <w:r>
        <w:rPr>
          <w:rFonts w:ascii="Times New Roman;sans-serif" w:hAnsi="Times New Roman;sans-serif"/>
          <w:b/>
          <w:color w:val="000000"/>
          <w:sz w:val="22"/>
          <w:u w:val="single"/>
        </w:rPr>
        <w:t>Executive</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Life360 and Executive have entered into the Separation Agreement and Release of Claims dated January 18, 2023 (“</w:t>
      </w:r>
      <w:r>
        <w:rPr>
          <w:rFonts w:ascii="Times New Roman;sans-serif" w:hAnsi="Times New Roman;sans-serif"/>
          <w:b/>
          <w:color w:val="000000"/>
          <w:sz w:val="22"/>
          <w:u w:val="single"/>
        </w:rPr>
        <w:t>Agreement</w:t>
      </w:r>
      <w:r>
        <w:rPr>
          <w:color w:val="000000"/>
        </w:rPr>
        <w:t>”</w:t>
      </w:r>
      <w:r>
        <w:rPr>
          <w:rFonts w:ascii="Times New Roman;sans-serif" w:hAnsi="Times New Roman;sans-serif"/>
          <w:b w:val="false"/>
          <w:color w:val="000000"/>
          <w:sz w:val="22"/>
        </w:rPr>
        <w:t>); and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Life360 hired and appointed a new Chief Operating Officer on May 2, 2023; and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hereto desire to enter into this Amendment for the purposes hereinafter set forth.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NOW, THEREFORE, </w:t>
      </w:r>
      <w:r>
        <w:rPr>
          <w:rFonts w:ascii="Times New Roman;sans-serif" w:hAnsi="Times New Roman;sans-serif"/>
          <w:b w:val="false"/>
          <w:color w:val="000000"/>
          <w:sz w:val="22"/>
        </w:rPr>
        <w:t>for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 xml:space="preserve">1.In </w:t>
      </w:r>
      <w:r>
        <w:rPr>
          <w:rFonts w:ascii="Times New Roman;sans-serif" w:hAnsi="Times New Roman;sans-serif"/>
          <w:b w:val="false"/>
          <w:color w:val="000000"/>
          <w:sz w:val="22"/>
          <w:u w:val="single"/>
        </w:rPr>
        <w:t>Section 1 (Resignation and Extension of Separation Date)</w:t>
      </w:r>
      <w:r>
        <w:rPr>
          <w:color w:val="000000"/>
        </w:rPr>
        <w:t xml:space="preserve"> </w:t>
      </w:r>
      <w:r>
        <w:rPr>
          <w:rFonts w:ascii="Times New Roman;sans-serif" w:hAnsi="Times New Roman;sans-serif"/>
          <w:b w:val="false"/>
          <w:color w:val="000000"/>
          <w:sz w:val="22"/>
        </w:rPr>
        <w:t>of the Agreement, the following sentence is hereby deleted: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The Company agrees to allow you to remain in your current position with the Company until the earlier of a) 30 calendar days after the company hires a new Chief Operating Officer or equivalent role per the Company’s sole discretion or b) September 2, 2023, at which time you will resign from your employment with the Company (“Separation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shall be replaced with the following language: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The Company agrees to allow you to remain in your current position with the Company until </w:t>
      </w:r>
      <w:r>
        <w:rPr>
          <w:rFonts w:ascii="Times New Roman;sans-serif" w:hAnsi="Times New Roman;sans-serif"/>
          <w:b/>
          <w:i/>
          <w:color w:val="000000"/>
          <w:sz w:val="22"/>
        </w:rPr>
        <w:t>July 7, 2023</w:t>
      </w:r>
      <w:r>
        <w:rPr>
          <w:rFonts w:ascii="Times New Roman;sans-serif" w:hAnsi="Times New Roman;sans-serif"/>
          <w:b w:val="false"/>
          <w:i/>
          <w:color w:val="000000"/>
          <w:sz w:val="22"/>
        </w:rPr>
        <w:t>, at which time you will resign from your employment with the Company (“Separation Date”).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2.Except as otherwise provided herein, all terms and conditions of the Agreement shall remain in full force and effect, and capitalized terms shall have the same meaning as set forth in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1F1F1F"/>
          <w:sz w:val="22"/>
        </w:rPr>
      </w:pPr>
      <w:r>
        <w:rPr>
          <w:rFonts w:ascii="Times New Roman;sans-serif" w:hAnsi="Times New Roman;sans-serif"/>
          <w:b w:val="false"/>
          <w:color w:val="1F1F1F"/>
          <w:sz w:val="22"/>
        </w:rPr>
        <w:t>IN WITNESS WHEREOF, the parties hereto have caused this Amendment to be executed by their duly authorized representatives as of the Effective Date.</w:t>
      </w:r>
    </w:p>
    <w:p>
      <w:pPr>
        <w:pStyle w:val="TextBody"/>
        <w:bidi w:val="0"/>
        <w:spacing w:before="0" w:after="0"/>
        <w:jc w:val="both"/>
        <w:rPr/>
      </w:pPr>
      <w:r>
        <w:rPr/>
      </w:r>
    </w:p>
    <w:tbl>
      <w:tblPr>
        <w:tblW w:w="5138" w:type="dxa"/>
        <w:jc w:val="left"/>
        <w:tblInd w:w="0" w:type="dxa"/>
        <w:tblLayout w:type="fixed"/>
        <w:tblCellMar>
          <w:top w:w="28" w:type="dxa"/>
          <w:left w:w="28" w:type="dxa"/>
          <w:bottom w:w="28" w:type="dxa"/>
          <w:right w:w="28" w:type="dxa"/>
        </w:tblCellMar>
      </w:tblPr>
      <w:tblGrid>
        <w:gridCol w:w="234"/>
        <w:gridCol w:w="205"/>
        <w:gridCol w:w="205"/>
        <w:gridCol w:w="647"/>
        <w:gridCol w:w="647"/>
        <w:gridCol w:w="670"/>
        <w:gridCol w:w="109"/>
        <w:gridCol w:w="109"/>
        <w:gridCol w:w="109"/>
        <w:gridCol w:w="209"/>
        <w:gridCol w:w="209"/>
        <w:gridCol w:w="211"/>
        <w:gridCol w:w="456"/>
        <w:gridCol w:w="456"/>
        <w:gridCol w:w="66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6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Prober</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Prober</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Chris Hulls,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613"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Russell Burke ,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628"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Life360, Inc. (the “Company”), on Form 10-Q for the quarter ended March 31, 2023 (the “Report”), I, Chris Hulls, Chief Executive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4613"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Life360, Inc. (the “Company”), on Form 10-Q for the quarter ended March 31, 2023 (the “Report”), I, Russell Burke, Chief Financial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628"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38223</Words>
  <Characters>209808</Characters>
  <CharactersWithSpaces>246423</CharactersWithSpaces>
  <Paragraphs>3007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