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4797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Samir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06/02/2023</w:t>
            </w:r>
          </w:p>
        </w:tc>
        <w:tc>
          <w:tcPr>
            <w:tcW w:w="2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0000FF"/>
                <w:w w:val="88"/>
              </w:rPr>
              <w:t>06/02/2023</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ind w:left="20"/>
              <w:spacing w:after="0" w:line="284" w:lineRule="exact"/>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Pr>
          <w:p>
            <w:pPr>
              <w:jc w:val="right"/>
              <w:ind w:right="230"/>
              <w:spacing w:after="0"/>
              <w:rPr>
                <w:sz w:val="20"/>
                <w:szCs w:val="20"/>
                <w:color w:val="auto"/>
              </w:rPr>
            </w:pPr>
            <w:r>
              <w:rPr>
                <w:rFonts w:ascii="Arial" w:cs="Arial" w:eastAsia="Arial" w:hAnsi="Arial"/>
                <w:sz w:val="18"/>
                <w:szCs w:val="18"/>
                <w:color w:val="0000FF"/>
                <w:w w:val="97"/>
              </w:rPr>
              <w:t>4,620</w:t>
            </w:r>
          </w:p>
        </w:tc>
        <w:tc>
          <w:tcPr>
            <w:tcW w:w="360" w:type="dxa"/>
            <w:vAlign w:val="bottom"/>
          </w:tcPr>
          <w:p>
            <w:pPr>
              <w:ind w:left="60"/>
              <w:spacing w:after="0"/>
              <w:rPr>
                <w:sz w:val="20"/>
                <w:szCs w:val="20"/>
                <w:color w:val="auto"/>
              </w:rPr>
            </w:pPr>
            <w:r>
              <w:rPr>
                <w:rFonts w:ascii="Arial" w:cs="Arial" w:eastAsia="Arial" w:hAnsi="Arial"/>
                <w:sz w:val="18"/>
                <w:szCs w:val="18"/>
                <w:color w:val="0000FF"/>
              </w:rPr>
              <w:t>D</w:t>
            </w:r>
          </w:p>
        </w:tc>
        <w:tc>
          <w:tcPr>
            <w:tcW w:w="2300" w:type="dxa"/>
            <w:vAlign w:val="bottom"/>
            <w:gridSpan w:val="3"/>
          </w:tcPr>
          <w:p>
            <w:pPr>
              <w:ind w:left="60"/>
              <w:spacing w:after="0" w:line="284"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13.6328</w:t>
            </w:r>
            <w:r>
              <w:rPr>
                <w:rFonts w:ascii="Arial" w:cs="Arial" w:eastAsia="Arial" w:hAnsi="Arial"/>
                <w:sz w:val="20"/>
                <w:szCs w:val="20"/>
                <w:color w:val="008000"/>
                <w:vertAlign w:val="superscript"/>
              </w:rPr>
              <w:t>(2)</w:t>
            </w:r>
            <w:r>
              <w:rPr>
                <w:rFonts w:ascii="Arial" w:cs="Arial" w:eastAsia="Arial" w:hAnsi="Arial"/>
                <w:sz w:val="16"/>
                <w:szCs w:val="16"/>
                <w:color w:val="auto"/>
              </w:rPr>
              <w:t xml:space="preserve">    </w:t>
            </w:r>
            <w:r>
              <w:rPr>
                <w:rFonts w:ascii="Arial" w:cs="Arial" w:eastAsia="Arial" w:hAnsi="Arial"/>
                <w:sz w:val="32"/>
                <w:szCs w:val="32"/>
                <w:color w:val="0000FF"/>
                <w:vertAlign w:val="subscript"/>
              </w:rPr>
              <w:t>113,775</w:t>
            </w:r>
            <w:r>
              <w:rPr>
                <w:rFonts w:ascii="Arial" w:cs="Arial" w:eastAsia="Arial" w:hAnsi="Arial"/>
                <w:sz w:val="11"/>
                <w:szCs w:val="11"/>
                <w:color w:val="008000"/>
              </w:rPr>
              <w:t>(4)(5)</w:t>
            </w:r>
          </w:p>
        </w:tc>
        <w:tc>
          <w:tcPr>
            <w:tcW w:w="760" w:type="dxa"/>
            <w:vAlign w:val="bottom"/>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ind w:left="380"/>
              <w:spacing w:after="0"/>
              <w:rPr>
                <w:sz w:val="20"/>
                <w:szCs w:val="20"/>
                <w:color w:val="auto"/>
              </w:rPr>
            </w:pPr>
            <w:r>
              <w:rPr>
                <w:rFonts w:ascii="Arial" w:cs="Arial" w:eastAsia="Arial" w:hAnsi="Arial"/>
                <w:sz w:val="11"/>
                <w:szCs w:val="11"/>
                <w:color w:val="008000"/>
              </w:rPr>
              <w:t>(3)</w:t>
            </w:r>
          </w:p>
        </w:tc>
        <w:tc>
          <w:tcPr>
            <w:tcW w:w="7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expressed in United States Dollars using the conversion rate on June 2, 2023.</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weighted average price. These shares were sold in multiple transactions. Prices ranged from US$13.5586 to US$13.7195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107,108 restricted stock units, each of which represents a contingent right to receive one share of the Issuer's common stock upon vesting.</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CDIs are traded on the Australian Securities Exchange (the "ASX") and are held by CHESS Depositary Nominees Pty, Limited, a subsidiary of ASX Limited, the company that operates the ASX.</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06/06/2023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2023-06-06T12:14:16Z</dcterms:created>
  <dcterms:modified xsi:type="dcterms:W3CDTF">2023-06-06T12:14:16Z</dcterms:modified>
</cp:coreProperties>
</file>