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193675</wp:posOffset>
            </wp:positionH>
            <wp:positionV relativeFrom="page">
              <wp:posOffset>574040</wp:posOffset>
            </wp:positionV>
            <wp:extent cx="71615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page">
              <wp:posOffset>193675</wp:posOffset>
            </wp:positionH>
            <wp:positionV relativeFrom="page">
              <wp:posOffset>594360</wp:posOffset>
            </wp:positionV>
            <wp:extent cx="71615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698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ind w:left="5120"/>
        <w:spacing w:after="0"/>
        <w:rPr>
          <w:sz w:val="20"/>
          <w:szCs w:val="20"/>
          <w:color w:val="auto"/>
        </w:rPr>
      </w:pPr>
      <w:r>
        <w:rPr>
          <w:rFonts w:ascii="Arial" w:cs="Arial" w:eastAsia="Arial" w:hAnsi="Arial"/>
          <w:sz w:val="15"/>
          <w:szCs w:val="15"/>
          <w:color w:val="auto"/>
        </w:rPr>
        <w:t>______________</w:t>
      </w:r>
    </w:p>
    <w:p>
      <w:pPr>
        <w:spacing w:after="0" w:line="25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CURRENT REPORT</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Pursuant to Section 13 or 15(d) of the</w:t>
      </w:r>
    </w:p>
    <w:p>
      <w:pPr>
        <w:jc w:val="center"/>
        <w:spacing w:after="0"/>
        <w:rPr>
          <w:sz w:val="20"/>
          <w:szCs w:val="20"/>
          <w:color w:val="auto"/>
        </w:rPr>
      </w:pPr>
      <w:r>
        <w:rPr>
          <w:rFonts w:ascii="Arial" w:cs="Arial" w:eastAsia="Arial" w:hAnsi="Arial"/>
          <w:sz w:val="14"/>
          <w:szCs w:val="14"/>
          <w:b w:val="1"/>
          <w:bCs w:val="1"/>
          <w:color w:val="auto"/>
        </w:rPr>
        <w:t>Securities Exchange Act of 1934</w:t>
      </w:r>
    </w:p>
    <w:p>
      <w:pPr>
        <w:spacing w:after="0" w:line="17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Date of Report (Date of earliest event reported): April 7, 2023</w:t>
      </w:r>
    </w:p>
    <w:p>
      <w:pPr>
        <w:spacing w:after="0" w:line="312"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Life360, Inc.</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ectPr>
          <w:pgSz w:w="11900" w:h="16838" w:orient="portrait"/>
          <w:cols w:equalWidth="0" w:num="1">
            <w:col w:w="11280"/>
          </w:cols>
          <w:pgMar w:left="300" w:top="1084" w:right="319" w:bottom="58" w:gutter="0" w:footer="0" w:header="0"/>
        </w:sectPr>
      </w:pPr>
    </w:p>
    <w:p>
      <w:pPr>
        <w:spacing w:after="0" w:line="173" w:lineRule="exact"/>
        <w:rPr>
          <w:sz w:val="24"/>
          <w:szCs w:val="24"/>
          <w:color w:val="auto"/>
        </w:rPr>
      </w:pPr>
    </w:p>
    <w:p>
      <w:pPr>
        <w:ind w:left="1600"/>
        <w:spacing w:after="0"/>
        <w:rPr>
          <w:sz w:val="20"/>
          <w:szCs w:val="20"/>
          <w:color w:val="auto"/>
        </w:rPr>
      </w:pPr>
      <w:r>
        <w:rPr>
          <w:rFonts w:ascii="Arial" w:cs="Arial" w:eastAsia="Arial" w:hAnsi="Arial"/>
          <w:sz w:val="13"/>
          <w:szCs w:val="13"/>
          <w:b w:val="1"/>
          <w:bCs w:val="1"/>
          <w:color w:val="auto"/>
        </w:rPr>
        <w:t>Delaware</w:t>
      </w:r>
    </w:p>
    <w:p>
      <w:pPr>
        <w:spacing w:after="0" w:line="20" w:lineRule="exact"/>
        <w:rPr>
          <w:sz w:val="24"/>
          <w:szCs w:val="24"/>
          <w:color w:val="auto"/>
        </w:rPr>
      </w:pPr>
      <w:r>
        <w:rPr>
          <w:sz w:val="24"/>
          <w:szCs w:val="24"/>
          <w:color w:val="auto"/>
        </w:rPr>
        <w:br w:type="column"/>
      </w:r>
    </w:p>
    <w:p>
      <w:pPr>
        <w:spacing w:after="0" w:line="143" w:lineRule="exact"/>
        <w:rPr>
          <w:sz w:val="24"/>
          <w:szCs w:val="24"/>
          <w:color w:val="auto"/>
        </w:rPr>
      </w:pPr>
    </w:p>
    <w:p>
      <w:pPr>
        <w:jc w:val="center"/>
        <w:ind w:right="2380"/>
        <w:spacing w:after="0"/>
        <w:rPr>
          <w:sz w:val="20"/>
          <w:szCs w:val="20"/>
          <w:color w:val="auto"/>
        </w:rPr>
      </w:pPr>
      <w:r>
        <w:rPr>
          <w:rFonts w:ascii="Arial" w:cs="Arial" w:eastAsia="Arial" w:hAnsi="Arial"/>
          <w:sz w:val="12"/>
          <w:szCs w:val="12"/>
          <w:b w:val="1"/>
          <w:bCs w:val="1"/>
          <w:color w:val="auto"/>
        </w:rPr>
        <w:t>000-56424</w:t>
      </w:r>
    </w:p>
    <w:p>
      <w:pPr>
        <w:spacing w:after="0" w:line="20" w:lineRule="exact"/>
        <w:rPr>
          <w:sz w:val="24"/>
          <w:szCs w:val="24"/>
          <w:color w:val="auto"/>
        </w:rPr>
      </w:pPr>
      <w:r>
        <w:rPr>
          <w:sz w:val="24"/>
          <w:szCs w:val="24"/>
          <w:color w:val="auto"/>
        </w:rPr>
        <w:br w:type="column"/>
      </w:r>
    </w:p>
    <w:p>
      <w:pPr>
        <w:spacing w:after="0" w:line="143"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26-0197666</w:t>
      </w:r>
    </w:p>
    <w:p>
      <w:pPr>
        <w:spacing w:after="0" w:line="89" w:lineRule="exact"/>
        <w:rPr>
          <w:sz w:val="24"/>
          <w:szCs w:val="24"/>
          <w:color w:val="auto"/>
        </w:rPr>
      </w:pPr>
    </w:p>
    <w:p>
      <w:pPr>
        <w:sectPr>
          <w:pgSz w:w="11900" w:h="16838" w:orient="portrait"/>
          <w:cols w:equalWidth="0" w:num="3">
            <w:col w:w="4620" w:space="720"/>
            <w:col w:w="3000" w:space="720"/>
            <w:col w:w="2220"/>
          </w:cols>
          <w:pgMar w:left="300" w:top="1084" w:right="319" w:bottom="58" w:gutter="0" w:footer="0" w:header="0"/>
          <w:type w:val="continuous"/>
        </w:sectPr>
      </w:pPr>
    </w:p>
    <w:p>
      <w:pPr>
        <w:ind w:left="1060"/>
        <w:spacing w:after="0"/>
        <w:rPr>
          <w:sz w:val="20"/>
          <w:szCs w:val="20"/>
          <w:color w:val="auto"/>
        </w:rPr>
      </w:pPr>
      <w:r>
        <w:rPr>
          <w:rFonts w:ascii="Arial" w:cs="Arial" w:eastAsia="Arial" w:hAnsi="Arial"/>
          <w:sz w:val="13"/>
          <w:szCs w:val="13"/>
          <w:color w:val="auto"/>
        </w:rPr>
        <w:t>(State or other jurisdiction of</w:t>
      </w:r>
    </w:p>
    <w:p>
      <w:pPr>
        <w:spacing w:after="0" w:line="31" w:lineRule="exact"/>
        <w:rPr>
          <w:sz w:val="24"/>
          <w:szCs w:val="24"/>
          <w:color w:val="auto"/>
        </w:rPr>
      </w:pPr>
    </w:p>
    <w:p>
      <w:pPr>
        <w:ind w:left="1040"/>
        <w:spacing w:after="0"/>
        <w:rPr>
          <w:sz w:val="20"/>
          <w:szCs w:val="20"/>
          <w:color w:val="auto"/>
        </w:rPr>
      </w:pPr>
      <w:r>
        <w:rPr>
          <w:rFonts w:ascii="Arial" w:cs="Arial" w:eastAsia="Arial" w:hAnsi="Arial"/>
          <w:sz w:val="13"/>
          <w:szCs w:val="13"/>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(Commission 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3"/>
          <w:szCs w:val="13"/>
          <w:color w:val="auto"/>
        </w:rPr>
        <w:t>(I.R.S. Employer</w:t>
      </w:r>
    </w:p>
    <w:p>
      <w:pPr>
        <w:spacing w:after="0" w:line="31" w:lineRule="exact"/>
        <w:rPr>
          <w:sz w:val="24"/>
          <w:szCs w:val="24"/>
          <w:color w:val="auto"/>
        </w:rPr>
      </w:pPr>
    </w:p>
    <w:p>
      <w:pPr>
        <w:spacing w:after="0"/>
        <w:rPr>
          <w:sz w:val="20"/>
          <w:szCs w:val="20"/>
          <w:color w:val="auto"/>
        </w:rPr>
      </w:pPr>
      <w:r>
        <w:rPr>
          <w:rFonts w:ascii="Arial" w:cs="Arial" w:eastAsia="Arial" w:hAnsi="Arial"/>
          <w:sz w:val="13"/>
          <w:szCs w:val="13"/>
          <w:color w:val="auto"/>
        </w:rPr>
        <w:t>Identification No.)</w:t>
      </w:r>
    </w:p>
    <w:p>
      <w:pPr>
        <w:spacing w:after="0" w:line="144" w:lineRule="exact"/>
        <w:rPr>
          <w:sz w:val="24"/>
          <w:szCs w:val="24"/>
          <w:color w:val="auto"/>
        </w:rPr>
      </w:pPr>
    </w:p>
    <w:p>
      <w:pPr>
        <w:sectPr>
          <w:pgSz w:w="11900" w:h="16838" w:orient="portrait"/>
          <w:cols w:equalWidth="0" w:num="3">
            <w:col w:w="4140" w:space="720"/>
            <w:col w:w="3300" w:space="720"/>
            <w:col w:w="2400"/>
          </w:cols>
          <w:pgMar w:left="300" w:top="1084" w:right="319" w:bottom="58" w:gutter="0" w:footer="0" w:header="0"/>
          <w:type w:val="continuous"/>
        </w:sectPr>
      </w:pPr>
    </w:p>
    <w:p>
      <w:pPr>
        <w:jc w:val="center"/>
        <w:spacing w:after="0"/>
        <w:rPr>
          <w:sz w:val="20"/>
          <w:szCs w:val="20"/>
          <w:color w:val="auto"/>
        </w:rPr>
      </w:pPr>
      <w:r>
        <w:rPr>
          <w:rFonts w:ascii="Arial" w:cs="Arial" w:eastAsia="Arial" w:hAnsi="Arial"/>
          <w:sz w:val="14"/>
          <w:szCs w:val="14"/>
          <w:b w:val="1"/>
          <w:bCs w:val="1"/>
          <w:color w:val="auto"/>
        </w:rPr>
        <w:t>1900 South Norfolk Street, Suite 310</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San Mateo, CA 94403</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(Address of principal executive offices, including zip code)</w:t>
      </w:r>
    </w:p>
    <w:p>
      <w:pPr>
        <w:spacing w:after="0" w:line="26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(415) 484-5244</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(Registrant’s telephone number, including area code)</w:t>
      </w:r>
    </w:p>
    <w:p>
      <w:pPr>
        <w:spacing w:after="0" w:line="2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Not applicable.</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12"/>
          <w:szCs w:val="12"/>
          <w:color w:val="auto"/>
        </w:rPr>
        <w:t>(Former name or former address, if changed since last report)</w:t>
      </w:r>
    </w:p>
    <w:p>
      <w:pPr>
        <w:spacing w:after="0" w:line="110" w:lineRule="exact"/>
        <w:rPr>
          <w:sz w:val="24"/>
          <w:szCs w:val="24"/>
          <w:color w:val="auto"/>
        </w:rPr>
      </w:pPr>
    </w:p>
    <w:p>
      <w:pPr>
        <w:ind w:left="5120"/>
        <w:spacing w:after="0"/>
        <w:rPr>
          <w:sz w:val="20"/>
          <w:szCs w:val="20"/>
          <w:color w:val="auto"/>
        </w:rPr>
      </w:pPr>
      <w:r>
        <w:rPr>
          <w:rFonts w:ascii="Arial" w:cs="Arial" w:eastAsia="Arial" w:hAnsi="Arial"/>
          <w:sz w:val="15"/>
          <w:szCs w:val="15"/>
          <w:color w:val="auto"/>
        </w:rPr>
        <w:t>______________</w:t>
      </w:r>
    </w:p>
    <w:p>
      <w:pPr>
        <w:sectPr>
          <w:pgSz w:w="11900" w:h="16838" w:orient="portrait"/>
          <w:cols w:equalWidth="0" w:num="1">
            <w:col w:w="11280"/>
          </w:cols>
          <w:pgMar w:left="300" w:top="1084" w:right="319" w:bottom="58" w:gutter="0" w:footer="0" w:header="0"/>
          <w:type w:val="continuous"/>
        </w:sectPr>
      </w:pPr>
    </w:p>
    <w:p>
      <w:pPr>
        <w:spacing w:after="0" w:line="269" w:lineRule="exact"/>
        <w:rPr>
          <w:sz w:val="24"/>
          <w:szCs w:val="24"/>
          <w:color w:val="auto"/>
        </w:rPr>
      </w:pPr>
    </w:p>
    <w:p>
      <w:pPr>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200" w:lineRule="exact"/>
        <w:rPr>
          <w:sz w:val="24"/>
          <w:szCs w:val="24"/>
          <w:color w:val="auto"/>
        </w:rPr>
      </w:pPr>
    </w:p>
    <w:p>
      <w:pPr>
        <w:ind w:left="620" w:hanging="376"/>
        <w:spacing w:after="0"/>
        <w:tabs>
          <w:tab w:leader="none" w:pos="62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Written communications pursuant to Rule 425 under the Securities Act (17 CFR 230.425)</w:t>
      </w:r>
    </w:p>
    <w:p>
      <w:pPr>
        <w:spacing w:after="0" w:line="125" w:lineRule="exact"/>
        <w:rPr>
          <w:rFonts w:ascii="MS PGothic" w:cs="MS PGothic" w:eastAsia="MS PGothic" w:hAnsi="MS PGothic"/>
          <w:sz w:val="14"/>
          <w:szCs w:val="14"/>
          <w:color w:val="auto"/>
        </w:rPr>
      </w:pPr>
    </w:p>
    <w:p>
      <w:pPr>
        <w:ind w:left="620" w:hanging="376"/>
        <w:spacing w:after="0"/>
        <w:tabs>
          <w:tab w:leader="none" w:pos="62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Rule 14a-12 under the Exchange Act (17 CFR 240.14a-12)</w:t>
      </w:r>
    </w:p>
    <w:p>
      <w:pPr>
        <w:spacing w:after="0" w:line="125" w:lineRule="exact"/>
        <w:rPr>
          <w:rFonts w:ascii="MS PGothic" w:cs="MS PGothic" w:eastAsia="MS PGothic" w:hAnsi="MS PGothic"/>
          <w:sz w:val="14"/>
          <w:szCs w:val="14"/>
          <w:color w:val="auto"/>
        </w:rPr>
      </w:pPr>
    </w:p>
    <w:p>
      <w:pPr>
        <w:ind w:left="620" w:hanging="376"/>
        <w:spacing w:after="0"/>
        <w:tabs>
          <w:tab w:leader="none" w:pos="62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14d-2(b) under the Exchange Act (17 CFR 240.14d-2(b))</w:t>
      </w:r>
    </w:p>
    <w:p>
      <w:pPr>
        <w:spacing w:after="0" w:line="125" w:lineRule="exact"/>
        <w:rPr>
          <w:rFonts w:ascii="MS PGothic" w:cs="MS PGothic" w:eastAsia="MS PGothic" w:hAnsi="MS PGothic"/>
          <w:sz w:val="14"/>
          <w:szCs w:val="14"/>
          <w:color w:val="auto"/>
        </w:rPr>
      </w:pPr>
    </w:p>
    <w:p>
      <w:pPr>
        <w:ind w:left="620" w:hanging="376"/>
        <w:spacing w:after="0"/>
        <w:tabs>
          <w:tab w:leader="none" w:pos="62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13e-4(c) under the Exchange Act (17 CFR 240.13e-4(c))</w:t>
      </w:r>
    </w:p>
    <w:p>
      <w:pPr>
        <w:spacing w:after="0" w:line="307" w:lineRule="exact"/>
        <w:rPr>
          <w:sz w:val="24"/>
          <w:szCs w:val="24"/>
          <w:color w:val="auto"/>
        </w:rPr>
      </w:pPr>
    </w:p>
    <w:tbl>
      <w:tblPr>
        <w:tblLayout w:type="fixed"/>
        <w:tblInd w:w="10" w:type="dxa"/>
        <w:tblCellMar>
          <w:top w:w="0" w:type="dxa"/>
          <w:left w:w="0" w:type="dxa"/>
          <w:bottom w:w="0" w:type="dxa"/>
          <w:right w:w="0" w:type="dxa"/>
        </w:tblCellMar>
      </w:tblPr>
      <w:tr>
        <w:trPr>
          <w:trHeight w:val="191"/>
        </w:trPr>
        <w:tc>
          <w:tcPr>
            <w:tcW w:w="46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Title of each class</w:t>
            </w:r>
          </w:p>
        </w:tc>
        <w:tc>
          <w:tcPr>
            <w:tcW w:w="19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Trading Symbol(s)</w:t>
            </w:r>
          </w:p>
        </w:tc>
        <w:tc>
          <w:tcPr>
            <w:tcW w:w="46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Name of each exchange on which registered</w:t>
            </w:r>
          </w:p>
        </w:tc>
      </w:tr>
      <w:tr>
        <w:trPr>
          <w:trHeight w:val="171"/>
        </w:trPr>
        <w:tc>
          <w:tcPr>
            <w:tcW w:w="46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None.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None.</w:t>
            </w:r>
          </w:p>
        </w:tc>
        <w:tc>
          <w:tcPr>
            <w:tcW w:w="4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None.</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7" w:lineRule="exact"/>
        <w:rPr>
          <w:sz w:val="24"/>
          <w:szCs w:val="24"/>
          <w:color w:val="auto"/>
        </w:rPr>
      </w:pPr>
    </w:p>
    <w:p>
      <w:pPr>
        <w:jc w:val="both"/>
        <w:spacing w:after="0" w:line="265" w:lineRule="auto"/>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1" w:lineRule="exact"/>
        <w:rPr>
          <w:sz w:val="24"/>
          <w:szCs w:val="24"/>
          <w:color w:val="auto"/>
        </w:rPr>
      </w:pPr>
    </w:p>
    <w:p>
      <w:pPr>
        <w:ind w:left="20"/>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140" w:lineRule="exact"/>
        <w:rPr>
          <w:sz w:val="24"/>
          <w:szCs w:val="24"/>
          <w:color w:val="auto"/>
        </w:rPr>
      </w:pPr>
    </w:p>
    <w:p>
      <w:pPr>
        <w:jc w:val="both"/>
        <w:ind w:left="20" w:right="20"/>
        <w:spacing w:after="0" w:line="178"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125730</wp:posOffset>
            </wp:positionV>
            <wp:extent cx="716153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145415</wp:posOffset>
            </wp:positionV>
            <wp:extent cx="716153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7" w:lineRule="exact"/>
        <w:rPr>
          <w:sz w:val="24"/>
          <w:szCs w:val="24"/>
          <w:color w:val="auto"/>
        </w:rPr>
      </w:pPr>
    </w:p>
    <w:p>
      <w:pPr>
        <w:spacing w:after="0"/>
        <w:tabs>
          <w:tab w:leader="none" w:pos="720" w:val="left"/>
        </w:tabs>
        <w:rPr>
          <w:sz w:val="20"/>
          <w:szCs w:val="20"/>
          <w:color w:val="auto"/>
        </w:rPr>
      </w:pPr>
      <w:r>
        <w:rPr>
          <w:rFonts w:ascii="Arial" w:cs="Arial" w:eastAsia="Arial" w:hAnsi="Arial"/>
          <w:sz w:val="14"/>
          <w:szCs w:val="14"/>
          <w:b w:val="1"/>
          <w:bCs w:val="1"/>
          <w:color w:val="auto"/>
        </w:rPr>
        <w:t>Item 4.01</w:t>
      </w:r>
      <w:r>
        <w:rPr>
          <w:sz w:val="20"/>
          <w:szCs w:val="20"/>
          <w:color w:val="auto"/>
        </w:rPr>
        <w:tab/>
      </w:r>
      <w:r>
        <w:rPr>
          <w:rFonts w:ascii="Arial" w:cs="Arial" w:eastAsia="Arial" w:hAnsi="Arial"/>
          <w:sz w:val="12"/>
          <w:szCs w:val="12"/>
          <w:b w:val="1"/>
          <w:bCs w:val="1"/>
          <w:color w:val="auto"/>
        </w:rPr>
        <w:t>Changes in Registrant’s Certifying Accountant.</w:t>
      </w:r>
    </w:p>
    <w:p>
      <w:pPr>
        <w:spacing w:after="0" w:line="183" w:lineRule="exact"/>
        <w:rPr>
          <w:sz w:val="24"/>
          <w:szCs w:val="24"/>
          <w:color w:val="auto"/>
        </w:rPr>
      </w:pPr>
    </w:p>
    <w:p>
      <w:pPr>
        <w:spacing w:after="0"/>
        <w:rPr>
          <w:sz w:val="20"/>
          <w:szCs w:val="20"/>
          <w:color w:val="auto"/>
        </w:rPr>
      </w:pPr>
      <w:r>
        <w:rPr>
          <w:rFonts w:ascii="Arial" w:cs="Arial" w:eastAsia="Arial" w:hAnsi="Arial"/>
          <w:sz w:val="14"/>
          <w:szCs w:val="14"/>
          <w:i w:val="1"/>
          <w:iCs w:val="1"/>
          <w:color w:val="auto"/>
        </w:rPr>
        <w:t>(a) Dismissal of Independent Registered Public Accountant</w:t>
      </w:r>
    </w:p>
    <w:p>
      <w:pPr>
        <w:spacing w:after="0" w:line="94" w:lineRule="exact"/>
        <w:rPr>
          <w:sz w:val="24"/>
          <w:szCs w:val="24"/>
          <w:color w:val="auto"/>
        </w:rPr>
      </w:pPr>
    </w:p>
    <w:p>
      <w:pPr>
        <w:jc w:val="both"/>
        <w:ind w:firstLine="509"/>
        <w:spacing w:after="0" w:line="267" w:lineRule="auto"/>
        <w:rPr>
          <w:sz w:val="20"/>
          <w:szCs w:val="20"/>
          <w:color w:val="auto"/>
        </w:rPr>
      </w:pPr>
      <w:r>
        <w:rPr>
          <w:rFonts w:ascii="Arial" w:cs="Arial" w:eastAsia="Arial" w:hAnsi="Arial"/>
          <w:sz w:val="14"/>
          <w:szCs w:val="14"/>
          <w:color w:val="auto"/>
        </w:rPr>
        <w:t>On April 3, 2023, based on the approval of the Audit &amp; Risk Management Committee (the “Audit Committee”) of the board of directors of Life360, Inc. (the “Company”), the Company dismissed BDO USA, LLP (“BDO”) as the Company’s independent registered public accounting firm. As described below, the decision to dismiss BDO as the independent registered public accounting firm of the Company is not the result of any disagreement with BDO.</w:t>
      </w:r>
    </w:p>
    <w:p>
      <w:pPr>
        <w:spacing w:after="0" w:line="142" w:lineRule="exact"/>
        <w:rPr>
          <w:sz w:val="24"/>
          <w:szCs w:val="24"/>
          <w:color w:val="auto"/>
        </w:rPr>
      </w:pPr>
    </w:p>
    <w:p>
      <w:pPr>
        <w:jc w:val="both"/>
        <w:ind w:firstLine="509"/>
        <w:spacing w:after="0" w:line="281" w:lineRule="auto"/>
        <w:rPr>
          <w:sz w:val="20"/>
          <w:szCs w:val="20"/>
          <w:color w:val="auto"/>
        </w:rPr>
      </w:pPr>
      <w:r>
        <w:rPr>
          <w:rFonts w:ascii="Arial" w:cs="Arial" w:eastAsia="Arial" w:hAnsi="Arial"/>
          <w:sz w:val="14"/>
          <w:szCs w:val="14"/>
          <w:color w:val="auto"/>
        </w:rPr>
        <w:t>BDO’s audit reports on the Company’s financial statements as of and for the years ended December 31, 2022 and 2021 did not contain an adverse opinion or a disclaimer of opinion and were not qualified or modified as to uncertainty, audit scope or accounting principles.</w:t>
      </w:r>
    </w:p>
    <w:p>
      <w:pPr>
        <w:spacing w:after="0" w:line="132" w:lineRule="exact"/>
        <w:rPr>
          <w:sz w:val="24"/>
          <w:szCs w:val="24"/>
          <w:color w:val="auto"/>
        </w:rPr>
      </w:pPr>
    </w:p>
    <w:p>
      <w:pPr>
        <w:jc w:val="both"/>
        <w:ind w:firstLine="509"/>
        <w:spacing w:after="0" w:line="280" w:lineRule="auto"/>
        <w:rPr>
          <w:sz w:val="20"/>
          <w:szCs w:val="20"/>
          <w:color w:val="auto"/>
        </w:rPr>
      </w:pPr>
      <w:r>
        <w:rPr>
          <w:rFonts w:ascii="Arial" w:cs="Arial" w:eastAsia="Arial" w:hAnsi="Arial"/>
          <w:sz w:val="13"/>
          <w:szCs w:val="13"/>
          <w:color w:val="auto"/>
        </w:rPr>
        <w:t>During the fiscal years ended December 31, 2022 and 2021, and in the subsequent interim period through the date of this Current Report on Form 8-K (this “Report”), there were (i) no “disagreements” as that term is defined in Item 304(a)(1)(iv) of Regulation S-K between the Company and BDO on any matter of accounting principles or practices, financial statement disclosure or auditing scope or procedure, which disagreements, if not resolved to the satisfaction of BDO, would have caused BDO to make reference to the subject matter of the disagreement in their reports on the financial statements for such years, and (ii) no “reportable events” as that term is defined in Item 304(a)(1)(v) of Regulation S-K, except for the material weaknesses in the Company’s internal controls over financial reporting as disclosed in Part II, Item 9A of the Company’s Form 10-K as of December 31, 2022, related to management’s risk assessment process over information technology general controls, the design and implementation of information technology general controls, including certain controls over logical access, segregation of duties and change management, and certain process level controls including information used in the execution of those controls that impacted our financial reporting processes.</w:t>
      </w:r>
    </w:p>
    <w:p>
      <w:pPr>
        <w:spacing w:after="0" w:line="137" w:lineRule="exact"/>
        <w:rPr>
          <w:sz w:val="24"/>
          <w:szCs w:val="24"/>
          <w:color w:val="auto"/>
        </w:rPr>
      </w:pPr>
    </w:p>
    <w:p>
      <w:pPr>
        <w:ind w:left="520"/>
        <w:spacing w:after="0"/>
        <w:rPr>
          <w:sz w:val="20"/>
          <w:szCs w:val="20"/>
          <w:color w:val="auto"/>
        </w:rPr>
      </w:pPr>
      <w:r>
        <w:rPr>
          <w:rFonts w:ascii="Arial" w:cs="Arial" w:eastAsia="Arial" w:hAnsi="Arial"/>
          <w:sz w:val="14"/>
          <w:szCs w:val="14"/>
          <w:color w:val="auto"/>
        </w:rPr>
        <w:t>This material weakness has not been remediated as of the date of this Report.</w:t>
      </w:r>
    </w:p>
    <w:p>
      <w:pPr>
        <w:sectPr>
          <w:pgSz w:w="11900" w:h="16838" w:orient="portrait"/>
          <w:cols w:equalWidth="0" w:num="1">
            <w:col w:w="11280"/>
          </w:cols>
          <w:pgMar w:left="300" w:top="1084" w:right="319" w:bottom="58" w:gutter="0" w:footer="0" w:header="0"/>
          <w:type w:val="continuous"/>
        </w:sectPr>
      </w:pPr>
    </w:p>
    <w:bookmarkStart w:id="1" w:name="page2"/>
    <w:bookmarkEnd w:id="1"/>
    <w:p>
      <w:pPr>
        <w:jc w:val="both"/>
        <w:ind w:firstLine="509"/>
        <w:spacing w:after="0" w:line="267" w:lineRule="auto"/>
        <w:rPr>
          <w:sz w:val="20"/>
          <w:szCs w:val="20"/>
          <w:color w:val="auto"/>
        </w:rPr>
      </w:pPr>
      <w:r>
        <w:rPr>
          <w:rFonts w:ascii="Arial" w:cs="Arial" w:eastAsia="Arial" w:hAnsi="Arial"/>
          <w:sz w:val="14"/>
          <w:szCs w:val="14"/>
          <w:color w:val="auto"/>
        </w:rPr>
        <w:t>The Company has provided BDO with a copy of the disclosures it is making herein prior to filing this Report with the Securities and Exchange Commission (the “SEC”) and requested that BDO furnish the Company with a copy of their letter addressed to the SEC stating whether or not it agrees with the statements made herein and, if it does not agree, the respects in which it does not agree, in accordance with Item 304(a)(3) of Regulation S-K. A copy of BDO’s letter dated April 7, 2023, is attached as Exhibit 16.1 hereto.</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(b) Newly Appointed Independent Registered Public Accountant</w:t>
      </w:r>
    </w:p>
    <w:p>
      <w:pPr>
        <w:spacing w:after="0" w:line="94" w:lineRule="exact"/>
        <w:rPr>
          <w:sz w:val="20"/>
          <w:szCs w:val="20"/>
          <w:color w:val="auto"/>
        </w:rPr>
      </w:pPr>
    </w:p>
    <w:p>
      <w:pPr>
        <w:jc w:val="both"/>
        <w:ind w:firstLine="509"/>
        <w:spacing w:after="0" w:line="281" w:lineRule="auto"/>
        <w:rPr>
          <w:sz w:val="20"/>
          <w:szCs w:val="20"/>
          <w:color w:val="auto"/>
        </w:rPr>
      </w:pPr>
      <w:r>
        <w:rPr>
          <w:rFonts w:ascii="Arial" w:cs="Arial" w:eastAsia="Arial" w:hAnsi="Arial"/>
          <w:sz w:val="14"/>
          <w:szCs w:val="14"/>
          <w:color w:val="auto"/>
        </w:rPr>
        <w:t>On April 7, 2023, following approval of the Audit Committee, the Company engaged Deloitte &amp; Touche LLP (“Deloitte”) as the Company’s independent registered public accounting firm for the year ending December 31, 2023, effective immediately.</w:t>
      </w:r>
    </w:p>
    <w:p>
      <w:pPr>
        <w:spacing w:after="0" w:line="132"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color w:val="auto"/>
        </w:rPr>
        <w:t>During the Company’s two most recent fiscal years and the subsequent interim period preceding the engagement of Deloitte, neither the Company nor anyone on its behalf consulted with Deloitte with respect to: (i) the application of accounting principles to a specified transaction, either completed or proposed, or the type of audit opinion that might be rendered on the Company’s consolidated financial statements, and no written or oral advice of Deloitte was provided to the Company that was an important factor considered by the Company in reaching a decision as to the accounting, auditing, or financial reporting issue; or (ii) any matter that was either the subject of a “disagreement” (as defined in Item 304(a)(1)(iv) of Regulation S-K and the related instructions related thereto), or any “reportable event” (as defined in Item 304(a)(1)(v)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680085</wp:posOffset>
            </wp:positionV>
            <wp:extent cx="71869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 w:name="page3"/>
    <w:bookmarkEnd w:id="2"/>
    <w:p>
      <w:pPr>
        <w:spacing w:after="0"/>
        <w:rPr>
          <w:sz w:val="20"/>
          <w:szCs w:val="20"/>
          <w:color w:val="auto"/>
        </w:rPr>
      </w:pPr>
      <w:r>
        <w:rPr>
          <w:rFonts w:ascii="Arial" w:cs="Arial" w:eastAsia="Arial" w:hAnsi="Arial"/>
          <w:sz w:val="14"/>
          <w:szCs w:val="14"/>
          <w:b w:val="1"/>
          <w:bCs w:val="1"/>
          <w:color w:val="auto"/>
        </w:rPr>
        <w:t>Item 9.01 Financial Statements and Exhibits.</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 Exhibits</w:t>
      </w:r>
    </w:p>
    <w:p>
      <w:pPr>
        <w:spacing w:after="0" w:line="194" w:lineRule="exact"/>
        <w:rPr>
          <w:sz w:val="20"/>
          <w:szCs w:val="20"/>
          <w:color w:val="auto"/>
        </w:rPr>
      </w:pPr>
    </w:p>
    <w:tbl>
      <w:tblPr>
        <w:tblLayout w:type="fixed"/>
        <w:tblInd w:w="20" w:type="dxa"/>
        <w:tblCellMar>
          <w:top w:w="0" w:type="dxa"/>
          <w:left w:w="0" w:type="dxa"/>
          <w:bottom w:w="0" w:type="dxa"/>
          <w:right w:w="0" w:type="dxa"/>
        </w:tblCellMar>
      </w:tblPr>
      <w:tr>
        <w:trPr>
          <w:trHeight w:val="147"/>
        </w:trPr>
        <w:tc>
          <w:tcPr>
            <w:tcW w:w="1020" w:type="dxa"/>
            <w:vAlign w:val="bottom"/>
          </w:tcPr>
          <w:p>
            <w:pPr>
              <w:spacing w:after="0"/>
              <w:rPr>
                <w:sz w:val="20"/>
                <w:szCs w:val="20"/>
                <w:color w:val="auto"/>
              </w:rPr>
            </w:pPr>
            <w:r>
              <w:rPr>
                <w:rFonts w:ascii="Arial" w:cs="Arial" w:eastAsia="Arial" w:hAnsi="Arial"/>
                <w:sz w:val="11"/>
                <w:szCs w:val="11"/>
                <w:b w:val="1"/>
                <w:bCs w:val="1"/>
                <w:color w:val="auto"/>
              </w:rPr>
              <w:t>Exhibit No.</w:t>
            </w:r>
          </w:p>
        </w:tc>
        <w:tc>
          <w:tcPr>
            <w:tcW w:w="6260" w:type="dxa"/>
            <w:vAlign w:val="bottom"/>
            <w:gridSpan w:val="2"/>
          </w:tcPr>
          <w:p>
            <w:pPr>
              <w:spacing w:after="0"/>
              <w:rPr>
                <w:sz w:val="20"/>
                <w:szCs w:val="20"/>
                <w:color w:val="auto"/>
              </w:rPr>
            </w:pPr>
            <w:r>
              <w:rPr>
                <w:rFonts w:ascii="Arial" w:cs="Arial" w:eastAsia="Arial" w:hAnsi="Arial"/>
                <w:sz w:val="11"/>
                <w:szCs w:val="11"/>
                <w:b w:val="1"/>
                <w:bCs w:val="1"/>
                <w:color w:val="auto"/>
              </w:rPr>
              <w:t>Description</w:t>
            </w:r>
          </w:p>
        </w:tc>
      </w:tr>
      <w:tr>
        <w:trPr>
          <w:trHeight w:val="242"/>
        </w:trPr>
        <w:tc>
          <w:tcPr>
            <w:tcW w:w="1020" w:type="dxa"/>
            <w:vAlign w:val="bottom"/>
          </w:tcPr>
          <w:p>
            <w:pPr>
              <w:spacing w:after="0"/>
              <w:rPr>
                <w:sz w:val="20"/>
                <w:szCs w:val="20"/>
                <w:color w:val="auto"/>
              </w:rPr>
            </w:pPr>
            <w:r>
              <w:rPr>
                <w:rFonts w:ascii="Arial" w:cs="Arial" w:eastAsia="Arial" w:hAnsi="Arial"/>
                <w:sz w:val="14"/>
                <w:szCs w:val="14"/>
                <w:color w:val="auto"/>
              </w:rPr>
              <w:t>16.1</w:t>
            </w:r>
          </w:p>
        </w:tc>
        <w:tc>
          <w:tcPr>
            <w:tcW w:w="2780" w:type="dxa"/>
            <w:vAlign w:val="bottom"/>
            <w:tcBorders>
              <w:bottom w:val="single" w:sz="8" w:color="0000FF"/>
            </w:tcBorders>
          </w:tcPr>
          <w:p>
            <w:pPr>
              <w:spacing w:after="0"/>
              <w:rPr>
                <w:sz w:val="20"/>
                <w:szCs w:val="20"/>
                <w:color w:val="auto"/>
              </w:rPr>
            </w:pPr>
            <w:r>
              <w:rPr>
                <w:rFonts w:ascii="Arial" w:cs="Arial" w:eastAsia="Arial" w:hAnsi="Arial"/>
                <w:sz w:val="14"/>
                <w:szCs w:val="14"/>
                <w:color w:val="0000FF"/>
                <w:w w:val="94"/>
              </w:rPr>
              <w:t>Letter from BDO USA, LLP, dated April 7, 2023</w:t>
            </w:r>
          </w:p>
        </w:tc>
        <w:tc>
          <w:tcPr>
            <w:tcW w:w="3480" w:type="dxa"/>
            <w:vAlign w:val="bottom"/>
          </w:tcPr>
          <w:p>
            <w:pPr>
              <w:spacing w:after="0"/>
              <w:rPr>
                <w:sz w:val="21"/>
                <w:szCs w:val="21"/>
                <w:color w:val="auto"/>
              </w:rPr>
            </w:pPr>
          </w:p>
        </w:tc>
      </w:tr>
      <w:tr>
        <w:trPr>
          <w:trHeight w:val="234"/>
        </w:trPr>
        <w:tc>
          <w:tcPr>
            <w:tcW w:w="1020" w:type="dxa"/>
            <w:vAlign w:val="bottom"/>
          </w:tcPr>
          <w:p>
            <w:pPr>
              <w:spacing w:after="0"/>
              <w:rPr>
                <w:sz w:val="20"/>
                <w:szCs w:val="20"/>
                <w:color w:val="auto"/>
              </w:rPr>
            </w:pPr>
            <w:r>
              <w:rPr>
                <w:rFonts w:ascii="Arial" w:cs="Arial" w:eastAsia="Arial" w:hAnsi="Arial"/>
                <w:sz w:val="14"/>
                <w:szCs w:val="14"/>
                <w:color w:val="auto"/>
              </w:rPr>
              <w:t>104</w:t>
            </w:r>
          </w:p>
        </w:tc>
        <w:tc>
          <w:tcPr>
            <w:tcW w:w="6260" w:type="dxa"/>
            <w:vAlign w:val="bottom"/>
            <w:gridSpan w:val="2"/>
          </w:tcPr>
          <w:p>
            <w:pPr>
              <w:spacing w:after="0"/>
              <w:rPr>
                <w:sz w:val="20"/>
                <w:szCs w:val="20"/>
                <w:color w:val="auto"/>
              </w:rPr>
            </w:pPr>
            <w:r>
              <w:rPr>
                <w:rFonts w:ascii="Arial" w:cs="Arial" w:eastAsia="Arial" w:hAnsi="Arial"/>
                <w:sz w:val="14"/>
                <w:szCs w:val="14"/>
                <w:color w:val="auto"/>
                <w:w w:val="91"/>
              </w:rPr>
              <w:t>Cover Page Interactive Data File - the cover page XBRL tags are embedded within the Inline XBRL document</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SIGNATURES</w:t>
      </w:r>
    </w:p>
    <w:p>
      <w:pPr>
        <w:spacing w:after="0" w:line="183" w:lineRule="exact"/>
        <w:rPr>
          <w:sz w:val="20"/>
          <w:szCs w:val="20"/>
          <w:color w:val="auto"/>
        </w:rPr>
      </w:pPr>
    </w:p>
    <w:p>
      <w:pPr>
        <w:spacing w:after="0"/>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57"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66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7800" w:type="dxa"/>
            <w:vAlign w:val="bottom"/>
            <w:gridSpan w:val="2"/>
          </w:tcPr>
          <w:p>
            <w:pPr>
              <w:ind w:left="1740"/>
              <w:spacing w:after="0"/>
              <w:rPr>
                <w:sz w:val="20"/>
                <w:szCs w:val="20"/>
                <w:color w:val="auto"/>
              </w:rPr>
            </w:pPr>
            <w:r>
              <w:rPr>
                <w:rFonts w:ascii="Arial" w:cs="Arial" w:eastAsia="Arial" w:hAnsi="Arial"/>
                <w:sz w:val="14"/>
                <w:szCs w:val="14"/>
                <w:b w:val="1"/>
                <w:bCs w:val="1"/>
                <w:color w:val="auto"/>
              </w:rPr>
              <w:t>LIFE360, INC.</w:t>
            </w:r>
          </w:p>
        </w:tc>
      </w:tr>
      <w:tr>
        <w:trPr>
          <w:trHeight w:val="382"/>
        </w:trPr>
        <w:tc>
          <w:tcPr>
            <w:tcW w:w="660" w:type="dxa"/>
            <w:vAlign w:val="bottom"/>
          </w:tcPr>
          <w:p>
            <w:pPr>
              <w:spacing w:after="0"/>
              <w:rPr>
                <w:sz w:val="20"/>
                <w:szCs w:val="20"/>
                <w:color w:val="auto"/>
              </w:rPr>
            </w:pPr>
            <w:r>
              <w:rPr>
                <w:rFonts w:ascii="Arial" w:cs="Arial" w:eastAsia="Arial" w:hAnsi="Arial"/>
                <w:sz w:val="14"/>
                <w:szCs w:val="14"/>
                <w:color w:val="auto"/>
              </w:rPr>
              <w:t>Dated:</w:t>
            </w:r>
          </w:p>
        </w:tc>
        <w:tc>
          <w:tcPr>
            <w:tcW w:w="2800" w:type="dxa"/>
            <w:vAlign w:val="bottom"/>
          </w:tcPr>
          <w:p>
            <w:pPr>
              <w:ind w:left="300"/>
              <w:spacing w:after="0"/>
              <w:rPr>
                <w:sz w:val="20"/>
                <w:szCs w:val="20"/>
                <w:color w:val="auto"/>
              </w:rPr>
            </w:pPr>
            <w:r>
              <w:rPr>
                <w:rFonts w:ascii="Arial" w:cs="Arial" w:eastAsia="Arial" w:hAnsi="Arial"/>
                <w:sz w:val="14"/>
                <w:szCs w:val="14"/>
                <w:color w:val="auto"/>
              </w:rPr>
              <w:t>April 7, 2023</w:t>
            </w:r>
          </w:p>
        </w:tc>
        <w:tc>
          <w:tcPr>
            <w:tcW w:w="2300" w:type="dxa"/>
            <w:vAlign w:val="bottom"/>
          </w:tcPr>
          <w:p>
            <w:pPr>
              <w:ind w:left="1740"/>
              <w:spacing w:after="0"/>
              <w:rPr>
                <w:sz w:val="20"/>
                <w:szCs w:val="20"/>
                <w:color w:val="auto"/>
              </w:rPr>
            </w:pPr>
            <w:r>
              <w:rPr>
                <w:rFonts w:ascii="Arial" w:cs="Arial" w:eastAsia="Arial" w:hAnsi="Arial"/>
                <w:sz w:val="14"/>
                <w:szCs w:val="14"/>
                <w:color w:val="auto"/>
              </w:rPr>
              <w:t>By:</w:t>
            </w:r>
          </w:p>
        </w:tc>
        <w:tc>
          <w:tcPr>
            <w:tcW w:w="55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Russell Burke</w:t>
            </w:r>
          </w:p>
        </w:tc>
      </w:tr>
      <w:tr>
        <w:trPr>
          <w:trHeight w:val="171"/>
        </w:trPr>
        <w:tc>
          <w:tcPr>
            <w:tcW w:w="6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5500" w:type="dxa"/>
            <w:vAlign w:val="bottom"/>
          </w:tcPr>
          <w:p>
            <w:pPr>
              <w:ind w:left="20"/>
              <w:spacing w:after="0"/>
              <w:rPr>
                <w:sz w:val="20"/>
                <w:szCs w:val="20"/>
                <w:color w:val="auto"/>
              </w:rPr>
            </w:pPr>
            <w:r>
              <w:rPr>
                <w:rFonts w:ascii="Arial" w:cs="Arial" w:eastAsia="Arial" w:hAnsi="Arial"/>
                <w:sz w:val="14"/>
                <w:szCs w:val="14"/>
                <w:color w:val="auto"/>
              </w:rPr>
              <w:t>Russell Burke</w:t>
            </w:r>
          </w:p>
        </w:tc>
      </w:tr>
    </w:tbl>
    <w:p>
      <w:pPr>
        <w:spacing w:after="0" w:line="75" w:lineRule="exact"/>
        <w:rPr>
          <w:sz w:val="20"/>
          <w:szCs w:val="20"/>
          <w:color w:val="auto"/>
        </w:rPr>
      </w:pPr>
    </w:p>
    <w:p>
      <w:pPr>
        <w:ind w:left="5800"/>
        <w:spacing w:after="0"/>
        <w:rPr>
          <w:sz w:val="20"/>
          <w:szCs w:val="20"/>
          <w:color w:val="auto"/>
        </w:rPr>
      </w:pPr>
      <w:r>
        <w:rPr>
          <w:rFonts w:ascii="Arial" w:cs="Arial" w:eastAsia="Arial" w:hAnsi="Arial"/>
          <w:sz w:val="14"/>
          <w:szCs w:val="14"/>
          <w:color w:val="auto"/>
        </w:rPr>
        <w:t>Chief Financial Officer</w:t>
      </w:r>
    </w:p>
    <w:p>
      <w:pPr>
        <w:sectPr>
          <w:pgSz w:w="11900" w:h="16838" w:orient="portrait"/>
          <w:cols w:equalWidth="0" w:num="1">
            <w:col w:w="11280"/>
          </w:cols>
          <w:pgMar w:left="300" w:top="751" w:right="31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275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2023-04-10T05:22:37Z</dcterms:created>
  <dcterms:modified xsi:type="dcterms:W3CDTF">2023-04-10T05:22:37Z</dcterms:modified>
</cp:coreProperties>
</file>