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Haro Alex</w:t>
              </w:r>
            </w:hyperlink>
          </w:p>
        </w:tc>
        <w:tc>
          <w:tcPr>
            <w:tcW w:w="9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05/29/2025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2,714</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right="200"/>
              <w:spacing w:after="0"/>
              <w:rPr>
                <w:sz w:val="20"/>
                <w:szCs w:val="20"/>
                <w:color w:val="auto"/>
              </w:rPr>
            </w:pPr>
            <w:r>
              <w:rPr>
                <w:rFonts w:ascii="Times New Roman" w:cs="Times New Roman" w:eastAsia="Times New Roman" w:hAnsi="Times New Roman"/>
                <w:sz w:val="17"/>
                <w:szCs w:val="17"/>
                <w:color w:val="0000FF"/>
              </w:rPr>
              <w:t>961,315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7"/>
                <w:szCs w:val="17"/>
                <w:color w:val="0000FF"/>
              </w:rPr>
              <w:t>1,887</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("RSUs"). Each RSU represents a contingent right to receive one share of the Issuer's common stock upon settlement. 1/4th of the RSUs will vest quarterly from May 15, 2025, subject to the Reporting Person's continuous service through each vest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4,162 RSUs,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8,219 shares of the Issuer's common stock. The number of shares held as reported herein by the Reporting Person represents his proportionate ownership interest in ICCA Labs, LLC.</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06/02/2025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2626"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2025-06-02T19:49:00Z</dcterms:created>
  <dcterms:modified xsi:type="dcterms:W3CDTF">2025-06-02T19:49:00Z</dcterms:modified>
</cp:coreProperties>
</file>