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09/19/2024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5,075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1,816,599</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7"/>
                <w:szCs w:val="17"/>
                <w:color w:val="0000FF"/>
              </w:rPr>
              <w:t>1,846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65,690 restricted stock units,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sold and held as reported herein by the Reporting Person represents his proportionate ownership interest in ICCA Labs,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09/23/2024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2024-09-23T17:41:07Z</dcterms:created>
  <dcterms:modified xsi:type="dcterms:W3CDTF">2024-09-23T17:41:07Z</dcterms:modified>
</cp:coreProperties>
</file>