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left="3876"/>
              <w:spacing w:after="0"/>
              <w:rPr>
                <w:sz w:val="20"/>
                <w:szCs w:val="20"/>
                <w:color w:val="auto"/>
              </w:rPr>
            </w:pPr>
            <w:r>
              <w:rPr>
                <w:rFonts w:ascii="Times New Roman" w:cs="Times New Roman" w:eastAsia="Times New Roman" w:hAnsi="Times New Roman"/>
                <w:sz w:val="18"/>
                <w:szCs w:val="18"/>
                <w:b w:val="1"/>
                <w:bCs w:val="1"/>
                <w:color w:val="auto"/>
              </w:rPr>
              <w:t>26-0197666</w:t>
            </w:r>
          </w:p>
        </w:tc>
      </w:tr>
      <w:tr>
        <w:trPr>
          <w:trHeight w:val="148"/>
        </w:trPr>
        <w:tc>
          <w:tcPr>
            <w:tcW w:w="1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7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7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1980" w:type="dxa"/>
            <w:vAlign w:val="bottom"/>
          </w:tcPr>
          <w:p>
            <w:pPr>
              <w:spacing w:after="0"/>
              <w:rPr>
                <w:sz w:val="24"/>
                <w:szCs w:val="24"/>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1900 South Norfolk Street, Suite 310</w:t>
            </w:r>
          </w:p>
        </w:tc>
      </w:tr>
      <w:tr>
        <w:trPr>
          <w:trHeight w:val="214"/>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San Mateo, California 94107</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323"/>
        </w:trPr>
        <w:tc>
          <w:tcPr>
            <w:tcW w:w="1980" w:type="dxa"/>
            <w:vAlign w:val="bottom"/>
          </w:tcPr>
          <w:p>
            <w:pPr>
              <w:spacing w:after="0"/>
              <w:rPr>
                <w:sz w:val="24"/>
                <w:szCs w:val="24"/>
                <w:color w:val="auto"/>
              </w:rPr>
            </w:pPr>
          </w:p>
        </w:tc>
        <w:tc>
          <w:tcPr>
            <w:tcW w:w="5080" w:type="dxa"/>
            <w:vAlign w:val="bottom"/>
          </w:tcPr>
          <w:p>
            <w:pPr>
              <w:jc w:val="center"/>
              <w:ind w:right="1616"/>
              <w:spacing w:after="0"/>
              <w:rPr>
                <w:sz w:val="20"/>
                <w:szCs w:val="20"/>
                <w:color w:val="auto"/>
              </w:rPr>
            </w:pPr>
            <w:r>
              <w:rPr>
                <w:rFonts w:ascii="Times New Roman" w:cs="Times New Roman" w:eastAsia="Times New Roman" w:hAnsi="Times New Roman"/>
                <w:sz w:val="18"/>
                <w:szCs w:val="18"/>
                <w:b w:val="1"/>
                <w:bCs w:val="1"/>
                <w:color w:val="auto"/>
                <w:w w:val="99"/>
              </w:rPr>
              <w:t>Amended and Restated 2011 Stock Plan</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r>
        <w:trPr>
          <w:trHeight w:val="325"/>
        </w:trPr>
        <w:tc>
          <w:tcPr>
            <w:tcW w:w="1980" w:type="dxa"/>
            <w:vAlign w:val="bottom"/>
          </w:tcPr>
          <w:p>
            <w:pPr>
              <w:spacing w:after="0"/>
              <w:rPr>
                <w:sz w:val="24"/>
                <w:szCs w:val="24"/>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rPr>
              <w:t>Russell Burke</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16"/>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Life360, Inc.</w:t>
            </w:r>
          </w:p>
        </w:tc>
      </w:tr>
      <w:tr>
        <w:trPr>
          <w:trHeight w:val="216"/>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1900 South Norfolk Street, Suite 310</w:t>
            </w:r>
          </w:p>
        </w:tc>
      </w:tr>
      <w:tr>
        <w:trPr>
          <w:trHeight w:val="214"/>
        </w:trPr>
        <w:tc>
          <w:tcPr>
            <w:tcW w:w="1980" w:type="dxa"/>
            <w:vAlign w:val="bottom"/>
          </w:tcPr>
          <w:p>
            <w:pPr>
              <w:spacing w:after="0"/>
              <w:rPr>
                <w:sz w:val="18"/>
                <w:szCs w:val="18"/>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8"/>
                <w:szCs w:val="18"/>
                <w:b w:val="1"/>
                <w:bCs w:val="1"/>
                <w:color w:val="auto"/>
                <w:w w:val="99"/>
              </w:rPr>
              <w:t>San Mateo, California 94107</w:t>
            </w:r>
          </w:p>
        </w:tc>
      </w:tr>
      <w:tr>
        <w:trPr>
          <w:trHeight w:val="190"/>
        </w:trPr>
        <w:tc>
          <w:tcPr>
            <w:tcW w:w="1980" w:type="dxa"/>
            <w:vAlign w:val="bottom"/>
          </w:tcPr>
          <w:p>
            <w:pPr>
              <w:spacing w:after="0"/>
              <w:rPr>
                <w:sz w:val="16"/>
                <w:szCs w:val="16"/>
                <w:color w:val="auto"/>
              </w:rPr>
            </w:pPr>
          </w:p>
        </w:tc>
        <w:tc>
          <w:tcPr>
            <w:tcW w:w="5080" w:type="dxa"/>
            <w:vAlign w:val="bottom"/>
          </w:tcPr>
          <w:p>
            <w:pPr>
              <w:jc w:val="center"/>
              <w:ind w:right="1636"/>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(415) 484-5244</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Tom Hopkins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Siana Lowrey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Natalie Karam</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1333 2nd Street Suite 400,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Santa Monica, CA 90401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(310) 883-6400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97"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Life360, Inc. (the “Registrant”) is filing this registration statement on Form S-8 (the “Registration Statement”) with the Securities and Exchange Commission (the “SEC”) to register the offering of an additional 3,407,791 shares (the “Registered Shares”) of Common Stock, par value $0.001 per share (“Common Stock”), of the Registrant. The 3,407,791 shares of Common Stock being registered herein are issuable pursuant to the Life360, Inc. Amended and Restated 2011 Stock Plan (the “Stock Plan”). These additional shares of Common Stock are securities of the same class as other securities for which previous registration statements on Form S-8 were filed with the SEC on November 22, 2022 (File No. 333-268529) and September 27, 2023 (File No. 333-274727) (the “Prior Registration Statements”). Accordingly, the contents of the Prior Registration Statements are incorporated by reference into this Registration Statement pursuant to General Instruction E of Form S-8. The Registered Shares represent shares of Common Stock reserved for issuance as a result of the operation of the “evergreen” provision in the Stock Plan, which provides that the total number of shares subject to the Stock Plan may be increased on January 1 of each year pursuant to a specified formula.</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360, Inc. (the “Registrant”) hereby incorporates by reference into this Registration Statement the following documents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112" w:lineRule="exact"/>
        <w:rPr>
          <w:sz w:val="20"/>
          <w:szCs w:val="20"/>
          <w:color w:val="auto"/>
        </w:rPr>
      </w:pPr>
    </w:p>
    <w:p>
      <w:pPr>
        <w:ind w:left="960" w:right="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29, 2024 (the “2023 Form 10-K”); and</w:t>
      </w:r>
    </w:p>
    <w:p>
      <w:pPr>
        <w:spacing w:after="0" w:line="67" w:lineRule="exact"/>
        <w:rPr>
          <w:rFonts w:ascii="Times New Roman" w:cs="Times New Roman" w:eastAsia="Times New Roman" w:hAnsi="Times New Roman"/>
          <w:sz w:val="18"/>
          <w:szCs w:val="18"/>
          <w:color w:val="auto"/>
        </w:rPr>
      </w:pPr>
    </w:p>
    <w:p>
      <w:pPr>
        <w:jc w:val="both"/>
        <w:ind w:left="960" w:right="2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in </w:t>
      </w:r>
      <w:hyperlink r:id="rId20">
        <w:r>
          <w:rPr>
            <w:rFonts w:ascii="Times New Roman" w:cs="Times New Roman" w:eastAsia="Times New Roman" w:hAnsi="Times New Roman"/>
            <w:sz w:val="18"/>
            <w:szCs w:val="18"/>
            <w:u w:val="single" w:color="auto"/>
            <w:color w:val="0000EE"/>
          </w:rPr>
          <w:t>Item 11 to the Registrant’s Amendment No. 2 to Registration Statement on Form 10</w:t>
        </w:r>
      </w:hyperlink>
      <w:r>
        <w:rPr>
          <w:rFonts w:ascii="Times New Roman" w:cs="Times New Roman" w:eastAsia="Times New Roman" w:hAnsi="Times New Roman"/>
          <w:sz w:val="18"/>
          <w:szCs w:val="18"/>
          <w:color w:val="auto"/>
        </w:rPr>
        <w:t>, filed with the Commission on July 5, 2022 pursuant to Section 12(g) of the Exchange Act, including any amendment or report filed for the purpose of updating such description, including Exhibit 4.2 of the 2023 Form 10-K.</w:t>
      </w:r>
    </w:p>
    <w:p>
      <w:pPr>
        <w:spacing w:after="0" w:line="176" w:lineRule="exact"/>
        <w:rPr>
          <w:rFonts w:ascii="Times New Roman" w:cs="Times New Roman" w:eastAsia="Times New Roman" w:hAnsi="Times New Roman"/>
          <w:sz w:val="18"/>
          <w:szCs w:val="18"/>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by the Registrant with the Commission on or after the date of this Registration Statement pursuant to Sections 13(a), 13(c), 14 and 15(d) of the Securities Exchange Act of 1934, as amended, except as to any portion of any future annual, quarterly or current report or document of the Registrant that is not deemed filed under such provisions, shall be deemed incorporated by reference in this Registration Statement and to be a part hereof from the date of filing such documents until a post-effective amendment of this Registration Statement is filed which indicates that all securities being offered hereby have been sold or which deregisters all securities then remaining unsold; provided, however, that documents or information deemed to have been furnished and not filed in accordance with the rules of the Commission shall not be deemed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ectPr>
          <w:pgSz w:w="11900" w:h="16838" w:orient="portrait"/>
          <w:cols w:equalWidth="0" w:num="1">
            <w:col w:w="10980"/>
          </w:cols>
          <w:pgMar w:left="440" w:top="266"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161"/>
        </w:trPr>
        <w:tc>
          <w:tcPr>
            <w:tcW w:w="2860" w:type="dxa"/>
            <w:vAlign w:val="bottom"/>
          </w:tcPr>
          <w:p>
            <w:pPr>
              <w:jc w:val="center"/>
              <w:ind w:right="2368"/>
              <w:spacing w:after="0"/>
              <w:rPr>
                <w:sz w:val="20"/>
                <w:szCs w:val="20"/>
                <w:color w:val="auto"/>
              </w:rPr>
            </w:pPr>
            <w:r>
              <w:rPr>
                <w:rFonts w:ascii="Times New Roman" w:cs="Times New Roman" w:eastAsia="Times New Roman" w:hAnsi="Times New Roman"/>
                <w:sz w:val="14"/>
                <w:szCs w:val="14"/>
                <w:color w:val="auto"/>
              </w:rPr>
              <w:t>Exhibit</w:t>
            </w:r>
          </w:p>
        </w:tc>
        <w:tc>
          <w:tcPr>
            <w:tcW w:w="372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88"/>
        </w:trPr>
        <w:tc>
          <w:tcPr>
            <w:tcW w:w="2860" w:type="dxa"/>
            <w:vAlign w:val="bottom"/>
          </w:tcPr>
          <w:p>
            <w:pPr>
              <w:jc w:val="center"/>
              <w:ind w:right="2368"/>
              <w:spacing w:after="0"/>
              <w:rPr>
                <w:sz w:val="20"/>
                <w:szCs w:val="20"/>
                <w:color w:val="auto"/>
              </w:rPr>
            </w:pPr>
            <w:r>
              <w:rPr>
                <w:rFonts w:ascii="Times New Roman" w:cs="Times New Roman" w:eastAsia="Times New Roman" w:hAnsi="Times New Roman"/>
                <w:sz w:val="14"/>
                <w:szCs w:val="14"/>
                <w:color w:val="auto"/>
              </w:rPr>
              <w:t>No.</w:t>
            </w:r>
          </w:p>
        </w:tc>
        <w:tc>
          <w:tcPr>
            <w:tcW w:w="3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ind w:left="844" w:hanging="84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3">
        <w:r>
          <w:rPr>
            <w:rFonts w:ascii="Times New Roman" w:cs="Times New Roman" w:eastAsia="Times New Roman" w:hAnsi="Times New Roman"/>
            <w:sz w:val="18"/>
            <w:szCs w:val="18"/>
            <w:u w:val="single" w:color="auto"/>
            <w:color w:val="0000EE"/>
          </w:rPr>
          <w:t>Amended and Restated Certificate of Incorporation of Life360, Inc. (incorporated by reference to Exhibit 3.1 to the Registrant’s Amendment</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No. 2 to Registration Statement on Form 10 (File No. 000-56424, filed with the Commission on July 5, 2022)</w:t>
        </w:r>
      </w:hyperlink>
    </w:p>
    <w:p>
      <w:pPr>
        <w:spacing w:after="0" w:line="53" w:lineRule="exact"/>
        <w:rPr>
          <w:rFonts w:ascii="Times New Roman" w:cs="Times New Roman" w:eastAsia="Times New Roman" w:hAnsi="Times New Roman"/>
          <w:sz w:val="18"/>
          <w:szCs w:val="18"/>
          <w:u w:val="single" w:color="auto"/>
          <w:color w:val="0000EE"/>
        </w:rPr>
      </w:pPr>
    </w:p>
    <w:p>
      <w:pPr>
        <w:ind w:left="844" w:right="180" w:hanging="84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4">
        <w:r>
          <w:rPr>
            <w:rFonts w:ascii="Times New Roman" w:cs="Times New Roman" w:eastAsia="Times New Roman" w:hAnsi="Times New Roman"/>
            <w:sz w:val="18"/>
            <w:szCs w:val="18"/>
            <w:u w:val="single" w:color="auto"/>
            <w:color w:val="0000EE"/>
          </w:rPr>
          <w:t>Amended and Restated Bylaws of Life360, Inc. (incorporated by reference to Exhibit 3.2 to the Registrant’s Annual Report on Form 10-K</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(File No. 000-56424, filed with the Commission on March 23, 2023)</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8"/>
          <w:szCs w:val="18"/>
          <w:u w:val="single" w:color="auto"/>
          <w:color w:val="0000EE"/>
        </w:rPr>
        <w:t>Opinion of Cooley LLP*</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BDO USA, LLP, independent registered public accounting firm*</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Deloitte, LLP, independent registered public accounting firm*</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w:t>
      </w:r>
      <w:r>
        <w:rPr>
          <w:rFonts w:ascii="Times New Roman" w:cs="Times New Roman" w:eastAsia="Times New Roman" w:hAnsi="Times New Roman"/>
          <w:sz w:val="17"/>
          <w:szCs w:val="17"/>
          <w:u w:val="single" w:color="auto"/>
          <w:color w:val="0000EE"/>
        </w:rPr>
        <w:t>Consent of Cooley LLP (included in Exhibit 5.1)*</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 of Attorney (included in the signature page to this Registration Statement)*</w:t>
      </w:r>
    </w:p>
    <w:p>
      <w:pPr>
        <w:spacing w:after="0" w:line="117" w:lineRule="exact"/>
        <w:rPr>
          <w:rFonts w:ascii="Times New Roman" w:cs="Times New Roman" w:eastAsia="Times New Roman" w:hAnsi="Times New Roman"/>
          <w:sz w:val="16"/>
          <w:szCs w:val="16"/>
          <w:color w:val="auto"/>
        </w:rPr>
      </w:pPr>
    </w:p>
    <w:p>
      <w:pPr>
        <w:ind w:left="844" w:right="280" w:hanging="84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25">
        <w:r>
          <w:rPr>
            <w:rFonts w:ascii="Times New Roman" w:cs="Times New Roman" w:eastAsia="Times New Roman" w:hAnsi="Times New Roman"/>
            <w:sz w:val="18"/>
            <w:szCs w:val="18"/>
            <w:u w:val="single" w:color="auto"/>
            <w:color w:val="0000EE"/>
          </w:rPr>
          <w:t>Amended and Restated 2011 Stock Plan (incorporated by reference to Exhibit 10.2 to the Registrant’s Amendment No. 2 to Registration</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Statement on Form 10 (File No. 000-56424, filed with the Commission on July 5, 2022)</w:t>
        </w:r>
      </w:hyperlink>
    </w:p>
    <w:p>
      <w:pPr>
        <w:spacing w:after="0" w:line="53" w:lineRule="exact"/>
        <w:rPr>
          <w:rFonts w:ascii="Times New Roman" w:cs="Times New Roman" w:eastAsia="Times New Roman" w:hAnsi="Times New Roman"/>
          <w:sz w:val="18"/>
          <w:szCs w:val="18"/>
          <w:u w:val="single" w:color="auto"/>
          <w:color w:val="0000EE"/>
        </w:rPr>
      </w:pPr>
    </w:p>
    <w:p>
      <w:pPr>
        <w:ind w:left="844" w:right="400" w:hanging="844"/>
        <w:spacing w:after="0" w:line="312" w:lineRule="auto"/>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hyperlink r:id="rId26">
        <w:r>
          <w:rPr>
            <w:rFonts w:ascii="Times New Roman" w:cs="Times New Roman" w:eastAsia="Times New Roman" w:hAnsi="Times New Roman"/>
            <w:sz w:val="17"/>
            <w:szCs w:val="17"/>
            <w:u w:val="single" w:color="auto"/>
            <w:color w:val="0000EE"/>
          </w:rPr>
          <w:t>Form of Amended and Restated 2011 Stock Plan Restricted Stock Unit Agreement (incorporated by reference to Exhibit 10.3 to the</w:t>
        </w:r>
      </w:hyperlink>
      <w:r>
        <w:rPr>
          <w:rFonts w:ascii="Times New Roman" w:cs="Times New Roman" w:eastAsia="Times New Roman" w:hAnsi="Times New Roman"/>
          <w:sz w:val="17"/>
          <w:szCs w:val="17"/>
          <w:u w:val="single" w:color="auto"/>
          <w:color w:val="0000EE"/>
        </w:rPr>
        <w:t xml:space="preserve"> </w:t>
      </w:r>
      <w:hyperlink r:id="rId26">
        <w:r>
          <w:rPr>
            <w:rFonts w:ascii="Times New Roman" w:cs="Times New Roman" w:eastAsia="Times New Roman" w:hAnsi="Times New Roman"/>
            <w:sz w:val="17"/>
            <w:szCs w:val="17"/>
            <w:u w:val="single" w:color="auto"/>
            <w:color w:val="0000EE"/>
          </w:rPr>
          <w:t>Registrant’s Amendment No. 2 to Registration Statement on Form 10 (File No. 000-56424, filed with the Commission on July 5, 2022)</w:t>
        </w:r>
      </w:hyperlink>
    </w:p>
    <w:p>
      <w:pPr>
        <w:spacing w:after="0" w:line="31" w:lineRule="exact"/>
        <w:rPr>
          <w:rFonts w:ascii="Times New Roman" w:cs="Times New Roman" w:eastAsia="Times New Roman" w:hAnsi="Times New Roman"/>
          <w:sz w:val="17"/>
          <w:szCs w:val="17"/>
          <w:u w:val="single" w:color="auto"/>
          <w:color w:val="0000EE"/>
        </w:rPr>
      </w:pPr>
    </w:p>
    <w:p>
      <w:pPr>
        <w:ind w:left="844" w:right="340" w:hanging="84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27">
        <w:r>
          <w:rPr>
            <w:rFonts w:ascii="Times New Roman" w:cs="Times New Roman" w:eastAsia="Times New Roman" w:hAnsi="Times New Roman"/>
            <w:sz w:val="18"/>
            <w:szCs w:val="18"/>
            <w:u w:val="single" w:color="auto"/>
            <w:color w:val="0000EE"/>
          </w:rPr>
          <w:t>Form of Amended and Restated 2011 Stock Plan Stock Option Agreement (incorporated by reference to Exhibit 10.4 to the Registrant’s</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Amendment No. 2 to Registration Statement on Form 10 (File No. 000-56424, filed with the Commission on July 5, 2022)</w:t>
        </w:r>
      </w:hyperlink>
    </w:p>
    <w:p>
      <w:pPr>
        <w:spacing w:after="0" w:line="54" w:lineRule="exact"/>
        <w:rPr>
          <w:rFonts w:ascii="Times New Roman" w:cs="Times New Roman" w:eastAsia="Times New Roman" w:hAnsi="Times New Roman"/>
          <w:sz w:val="18"/>
          <w:szCs w:val="18"/>
          <w:color w:val="auto"/>
        </w:rPr>
      </w:pPr>
    </w:p>
    <w:p>
      <w:pPr>
        <w:ind w:left="844" w:hanging="844"/>
        <w:spacing w:after="0"/>
        <w:tabs>
          <w:tab w:leader="none" w:pos="8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98"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84"/>
          </w:cols>
          <w:pgMar w:left="436" w:top="253" w:right="47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60" w:firstLine="4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Mateo, State of California, on this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March,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Chris Hulls</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Chris Hulls and Russell Burke, and each or any of them, as such individual’s true and lawful attorneys-in-fact and agents with full power of substitution and resubstitution, for such individual and in such individual’s name, place and stead, in any and all capacities, to sign any and all amendments (including post-effective amendments) to this Registration Statement, and to file the same, with all exhibits thereto and all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such individual might or could do in person, hereby ratifying and confirming all that said attorneys-in-fact and agents, or any of them or their substitute or substitutes, may lawfully do or cause to be done by virtue hereof. This Power of Attorney may be signed in one or more counterparts, each of which shall be an original, with the same effect as if the signatures thereto and hereto were upon the same instrument.</w:t>
      </w:r>
    </w:p>
    <w:p>
      <w:pPr>
        <w:sectPr>
          <w:pgSz w:w="11900" w:h="16838" w:orient="portrait"/>
          <w:cols w:equalWidth="0" w:num="1">
            <w:col w:w="10920"/>
          </w:cols>
          <w:pgMar w:left="440" w:top="266" w:right="539" w:bottom="1440" w:gutter="0" w:footer="0" w:header="0"/>
        </w:sectPr>
      </w:pPr>
    </w:p>
    <w:bookmarkStart w:id="5" w:name="page6"/>
    <w:bookmarkEnd w:id="5"/>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Hulls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 Hulls</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Russell Burke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Russell Burke</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(CJ) Prober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(CJ) Prober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Philip Coghlan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Philip Coghlan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Goines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Goines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Alex Haro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Alex Haro</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Brit Morin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 Morin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Synge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Synge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Wiadrowski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Wiadrowski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Randi Zuckerberg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Randi Zuckerberg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7411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Natalie Y. Karam</w:t>
      </w:r>
    </w:p>
    <w:p>
      <w:pPr>
        <w:spacing w:after="0" w:line="27" w:lineRule="exact"/>
        <w:rPr>
          <w:sz w:val="20"/>
          <w:szCs w:val="20"/>
          <w:color w:val="auto"/>
        </w:rPr>
      </w:pPr>
    </w:p>
    <w:p>
      <w:pPr>
        <w:ind w:left="204" w:hanging="204"/>
        <w:spacing w:after="0"/>
        <w:tabs>
          <w:tab w:leader="none" w:pos="2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+1 650 843 5778</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nnkaram@cooley.com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1900 South Norfolk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310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Mateo, CA 94403</w:t>
      </w:r>
    </w:p>
    <w:p>
      <w:pPr>
        <w:spacing w:after="0" w:line="23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Life360, Inc. - Registration on Form S-8</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color w:val="auto"/>
        </w:rPr>
        <w:t>We have acted as counsel to Life360,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3,407,791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par value $0.001 per share, issuable pursuant to the Life360, Inc. Amended and Restated 2011 Stock Plan (the “</w:t>
      </w:r>
      <w:r>
        <w:rPr>
          <w:rFonts w:ascii="Times New Roman" w:cs="Times New Roman" w:eastAsia="Times New Roman" w:hAnsi="Times New Roman"/>
          <w:sz w:val="18"/>
          <w:szCs w:val="18"/>
          <w:b w:val="1"/>
          <w:bCs w:val="1"/>
          <w:i w:val="1"/>
          <w:iCs w:val="1"/>
          <w:color w:val="auto"/>
        </w:rPr>
        <w:t>Stock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 (b) the Company’s certificate of incorporation and bylaws, each as currently in effect, (c) the Stock Plan, and (d) such other records, documents,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Stock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12" w:lineRule="exact"/>
        <w:rPr>
          <w:sz w:val="20"/>
          <w:szCs w:val="20"/>
          <w:color w:val="auto"/>
        </w:rPr>
      </w:pPr>
    </w:p>
    <w:p>
      <w:pPr>
        <w:jc w:val="center"/>
        <w:ind w:right="16"/>
        <w:spacing w:after="0"/>
        <w:tabs>
          <w:tab w:leader="none" w:pos="160" w:val="left"/>
        </w:tabs>
        <w:rPr>
          <w:sz w:val="20"/>
          <w:szCs w:val="20"/>
          <w:color w:val="auto"/>
        </w:rPr>
      </w:pPr>
      <w:r>
        <w:rPr>
          <w:rFonts w:ascii="Times New Roman" w:cs="Times New Roman" w:eastAsia="Times New Roman" w:hAnsi="Times New Roman"/>
          <w:sz w:val="18"/>
          <w:szCs w:val="18"/>
          <w:color w:val="auto"/>
        </w:rPr>
        <w:t>Cooley LLP   3175 Hanover Street, </w:t>
      </w:r>
      <w:r>
        <w:rPr>
          <w:sz w:val="20"/>
          <w:szCs w:val="20"/>
          <w:color w:val="auto"/>
        </w:rPr>
        <w:tab/>
      </w:r>
      <w:r>
        <w:rPr>
          <w:rFonts w:ascii="Times New Roman" w:cs="Times New Roman" w:eastAsia="Times New Roman" w:hAnsi="Times New Roman"/>
          <w:sz w:val="16"/>
          <w:szCs w:val="16"/>
          <w:color w:val="auto"/>
        </w:rPr>
        <w:t>Palo Alto,   CA   94304</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4"/>
          </w:cols>
          <w:pgMar w:left="436"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Life360,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Natalie Y.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Natalie Y. Karam</w:t>
      </w:r>
    </w:p>
    <w:p>
      <w:pPr>
        <w:spacing w:after="0" w:line="153"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Cooley LLP   3175 Hanover Street, </w:t>
      </w:r>
      <w:r>
        <w:rPr>
          <w:sz w:val="20"/>
          <w:szCs w:val="20"/>
          <w:color w:val="auto"/>
        </w:rPr>
        <w:tab/>
      </w:r>
      <w:r>
        <w:rPr>
          <w:rFonts w:ascii="Times New Roman" w:cs="Times New Roman" w:eastAsia="Times New Roman" w:hAnsi="Times New Roman"/>
          <w:sz w:val="16"/>
          <w:szCs w:val="16"/>
          <w:color w:val="auto"/>
        </w:rPr>
        <w:t>Palo Alto,   CA   94304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00"/>
          </w:cols>
          <w:pgMar w:left="440" w:top="1093"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Tel: 415-397-7900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80135" cy="488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80135" cy="488950"/>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Fax: 415-397-2161</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www.bdo.com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Bush Street, Suite 1800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415" w:lineRule="exact"/>
        <w:rPr>
          <w:sz w:val="20"/>
          <w:szCs w:val="20"/>
          <w:color w:val="auto"/>
        </w:rPr>
      </w:pPr>
    </w:p>
    <w:p>
      <w:pPr>
        <w:sectPr>
          <w:pgSz w:w="11900" w:h="16838" w:orient="portrait"/>
          <w:cols w:equalWidth="0" w:num="2">
            <w:col w:w="6900" w:space="720"/>
            <w:col w:w="3400"/>
          </w:cols>
          <w:pgMar w:left="440" w:top="117" w:right="439" w:bottom="1440" w:gutter="0" w:footer="0" w:header="0"/>
          <w:type w:val="continuous"/>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of our report dated March 23, 2023, relating to the consolidated financial statements of Life360, Inc. (the Company) appearing in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26873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687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BDO USA, P.C., a Virginia professional corporation, is the U.S. member of BDO International Limited, a UK company limited by guarantee, and forms part of the international BDO network of independent member firms.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is the brand name for the BDO network and for each of the BDO Member Firms.</w:t>
      </w:r>
    </w:p>
    <w:p>
      <w:pPr>
        <w:sectPr>
          <w:pgSz w:w="11900" w:h="16838" w:orient="portrait"/>
          <w:cols w:equalWidth="0" w:num="1">
            <w:col w:w="11020"/>
          </w:cols>
          <w:pgMar w:left="440" w:top="117" w:right="4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5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2160270" cy="540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2160270" cy="540385"/>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555 Mission Street</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Tel: +1 415 783 400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www.deloitte.com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29, 2024, relating to the financial statements of Life360, Inc. and the effectiveness of Life360, Inc.’s internal control over financial reporting, appearing in the Annual Report on Form 10-K of Life360, Inc.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877060" cy="505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87706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Life360,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160020</wp:posOffset>
            </wp:positionV>
            <wp:extent cx="5323205" cy="2220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323205" cy="2220595"/>
                    </a:xfrm>
                    <a:prstGeom prst="rect">
                      <a:avLst/>
                    </a:prstGeom>
                    <a:noFill/>
                  </pic:spPr>
                </pic:pic>
              </a:graphicData>
            </a:graphic>
          </wp:anchor>
        </w:drawing>
      </w: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Table 1 — Newly Registered Securities</w:t>
      </w:r>
    </w:p>
    <w:p>
      <w:pPr>
        <w:spacing w:after="0" w:line="15" w:lineRule="exact"/>
        <w:rPr>
          <w:sz w:val="20"/>
          <w:szCs w:val="20"/>
          <w:color w:val="auto"/>
        </w:rPr>
      </w:pPr>
    </w:p>
    <w:tbl>
      <w:tblPr>
        <w:tblLayout w:type="fixed"/>
        <w:tblInd w:w="1324" w:type="dxa"/>
        <w:tblCellMar>
          <w:top w:w="0" w:type="dxa"/>
          <w:left w:w="0" w:type="dxa"/>
          <w:bottom w:w="0" w:type="dxa"/>
          <w:right w:w="0" w:type="dxa"/>
        </w:tblCellMar>
      </w:tblPr>
      <w:tr>
        <w:trPr>
          <w:trHeight w:val="124"/>
        </w:trPr>
        <w:tc>
          <w:tcPr>
            <w:tcW w:w="1280" w:type="dxa"/>
            <w:vAlign w:val="bottom"/>
            <w:tcBorders>
              <w:top w:val="single" w:sz="8" w:color="auto"/>
            </w:tcBorders>
          </w:tcPr>
          <w:p>
            <w:pPr>
              <w:spacing w:after="0"/>
              <w:rPr>
                <w:sz w:val="10"/>
                <w:szCs w:val="10"/>
                <w:color w:val="auto"/>
              </w:rPr>
            </w:pPr>
          </w:p>
        </w:tc>
        <w:tc>
          <w:tcPr>
            <w:tcW w:w="260" w:type="dxa"/>
            <w:vAlign w:val="bottom"/>
            <w:tcBorders>
              <w:top w:val="single" w:sz="8" w:color="auto"/>
              <w:right w:val="single" w:sz="8" w:color="auto"/>
            </w:tcBorders>
          </w:tcPr>
          <w:p>
            <w:pPr>
              <w:spacing w:after="0"/>
              <w:rPr>
                <w:sz w:val="10"/>
                <w:szCs w:val="10"/>
                <w:color w:val="auto"/>
              </w:rPr>
            </w:pPr>
          </w:p>
        </w:tc>
        <w:tc>
          <w:tcPr>
            <w:tcW w:w="1180" w:type="dxa"/>
            <w:vAlign w:val="bottom"/>
            <w:tcBorders>
              <w:top w:val="single" w:sz="8" w:color="auto"/>
              <w:righ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right w:val="single" w:sz="8" w:color="auto"/>
            </w:tcBorders>
          </w:tcPr>
          <w:p>
            <w:pPr>
              <w:spacing w:after="0"/>
              <w:rPr>
                <w:sz w:val="10"/>
                <w:szCs w:val="10"/>
                <w:color w:val="auto"/>
              </w:rPr>
            </w:pPr>
          </w:p>
        </w:tc>
        <w:tc>
          <w:tcPr>
            <w:tcW w:w="100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40" w:type="dxa"/>
            <w:vAlign w:val="bottom"/>
            <w:tcBorders>
              <w:top w:val="single" w:sz="8" w:color="auto"/>
              <w:right w:val="single" w:sz="8" w:color="auto"/>
            </w:tcBorders>
          </w:tcPr>
          <w:p>
            <w:pPr>
              <w:spacing w:after="0"/>
              <w:rPr>
                <w:sz w:val="10"/>
                <w:szCs w:val="10"/>
                <w:color w:val="auto"/>
              </w:rPr>
            </w:pPr>
          </w:p>
        </w:tc>
        <w:tc>
          <w:tcPr>
            <w:tcW w:w="100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35"/>
        </w:trPr>
        <w:tc>
          <w:tcPr>
            <w:tcW w:w="1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1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35"/>
        </w:trPr>
        <w:tc>
          <w:tcPr>
            <w:tcW w:w="1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Offering</w:t>
            </w:r>
          </w:p>
        </w:tc>
        <w:tc>
          <w:tcPr>
            <w:tcW w:w="100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r>
      <w:tr>
        <w:trPr>
          <w:trHeight w:val="169"/>
        </w:trPr>
        <w:tc>
          <w:tcPr>
            <w:tcW w:w="128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26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Class Title</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89"/>
              </w:rPr>
              <w:t>Rule</w:t>
            </w:r>
            <w:r>
              <w:rPr>
                <w:rFonts w:ascii="Times New Roman" w:cs="Times New Roman" w:eastAsia="Times New Roman" w:hAnsi="Times New Roman"/>
                <w:sz w:val="18"/>
                <w:szCs w:val="18"/>
                <w:b w:val="1"/>
                <w:bCs w:val="1"/>
                <w:color w:val="auto"/>
                <w:w w:val="89"/>
                <w:vertAlign w:val="superscript"/>
              </w:rPr>
              <w:t>(2)</w:t>
            </w:r>
          </w:p>
        </w:tc>
        <w:tc>
          <w:tcPr>
            <w:tcW w:w="100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8"/>
                <w:szCs w:val="18"/>
                <w:b w:val="1"/>
                <w:bCs w:val="1"/>
                <w:color w:val="auto"/>
                <w:w w:val="92"/>
                <w:vertAlign w:val="superscript"/>
              </w:rPr>
              <w:t>(1)</w:t>
            </w:r>
          </w:p>
        </w:tc>
        <w:tc>
          <w:tcPr>
            <w:tcW w:w="66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88"/>
              </w:rPr>
              <w:t>Unit</w:t>
            </w:r>
            <w:r>
              <w:rPr>
                <w:rFonts w:ascii="Times New Roman" w:cs="Times New Roman" w:eastAsia="Times New Roman" w:hAnsi="Times New Roman"/>
                <w:sz w:val="18"/>
                <w:szCs w:val="18"/>
                <w:b w:val="1"/>
                <w:bCs w:val="1"/>
                <w:color w:val="auto"/>
                <w:w w:val="88"/>
                <w:vertAlign w:val="superscript"/>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90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89"/>
              </w:rPr>
              <w:t>Fee</w:t>
            </w:r>
            <w:r>
              <w:rPr>
                <w:rFonts w:ascii="Times New Roman" w:cs="Times New Roman" w:eastAsia="Times New Roman" w:hAnsi="Times New Roman"/>
                <w:sz w:val="18"/>
                <w:szCs w:val="18"/>
                <w:b w:val="1"/>
                <w:bCs w:val="1"/>
                <w:color w:val="auto"/>
                <w:w w:val="89"/>
                <w:vertAlign w:val="superscript"/>
              </w:rPr>
              <w:t>(4)</w:t>
            </w:r>
          </w:p>
        </w:tc>
      </w:tr>
      <w:tr>
        <w:trPr>
          <w:trHeight w:val="201"/>
        </w:trPr>
        <w:tc>
          <w:tcPr>
            <w:tcW w:w="1280" w:type="dxa"/>
            <w:vAlign w:val="bottom"/>
          </w:tcPr>
          <w:p>
            <w:pPr>
              <w:jc w:val="center"/>
              <w:ind w:left="324"/>
              <w:spacing w:after="0" w:line="201" w:lineRule="exact"/>
              <w:rPr>
                <w:sz w:val="20"/>
                <w:szCs w:val="20"/>
                <w:color w:val="auto"/>
              </w:rPr>
            </w:pPr>
            <w:r>
              <w:rPr>
                <w:rFonts w:ascii="Times New Roman" w:cs="Times New Roman" w:eastAsia="Times New Roman" w:hAnsi="Times New Roman"/>
                <w:sz w:val="18"/>
                <w:szCs w:val="18"/>
                <w:color w:val="auto"/>
                <w:w w:val="99"/>
              </w:rPr>
              <w:t>Equity</w:t>
            </w:r>
          </w:p>
        </w:tc>
        <w:tc>
          <w:tcPr>
            <w:tcW w:w="2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Life360, Inc.</w:t>
            </w:r>
          </w:p>
        </w:tc>
        <w:tc>
          <w:tcPr>
            <w:tcW w:w="6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2011 Stock</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6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$0.001</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128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5"/>
              </w:rPr>
              <w:t>3,407,791</w:t>
            </w:r>
            <w:r>
              <w:rPr>
                <w:rFonts w:ascii="Times New Roman" w:cs="Times New Roman" w:eastAsia="Times New Roman" w:hAnsi="Times New Roman"/>
                <w:sz w:val="26"/>
                <w:szCs w:val="26"/>
                <w:color w:val="auto"/>
                <w:w w:val="95"/>
                <w:vertAlign w:val="superscript"/>
              </w:rPr>
              <w:t>(3)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$15.52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$52,888,916.32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$7,806.40</w:t>
            </w:r>
          </w:p>
        </w:tc>
      </w:tr>
      <w:tr>
        <w:trPr>
          <w:trHeight w:val="232"/>
        </w:trPr>
        <w:tc>
          <w:tcPr>
            <w:tcW w:w="1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$52,888,916.32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$7,806.40</w:t>
            </w:r>
          </w:p>
        </w:tc>
      </w:tr>
      <w:tr>
        <w:trPr>
          <w:trHeight w:val="237"/>
        </w:trPr>
        <w:tc>
          <w:tcPr>
            <w:tcW w:w="1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left="215"/>
              <w:spacing w:after="0"/>
              <w:rPr>
                <w:sz w:val="20"/>
                <w:szCs w:val="20"/>
                <w:color w:val="auto"/>
              </w:rPr>
            </w:pPr>
            <w:r>
              <w:rPr>
                <w:rFonts w:ascii="Times New Roman" w:cs="Times New Roman" w:eastAsia="Times New Roman" w:hAnsi="Times New Roman"/>
                <w:sz w:val="18"/>
                <w:szCs w:val="18"/>
                <w:color w:val="auto"/>
                <w:w w:val="98"/>
              </w:rPr>
              <w:t>Net Fee Due</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$7,806.40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on Form S-8 (the</w:t>
      </w:r>
    </w:p>
    <w:p>
      <w:pPr>
        <w:spacing w:after="0" w:line="31" w:lineRule="exact"/>
        <w:rPr>
          <w:rFonts w:ascii="Times New Roman" w:cs="Times New Roman" w:eastAsia="Times New Roman" w:hAnsi="Times New Roman"/>
          <w:sz w:val="18"/>
          <w:szCs w:val="18"/>
          <w:color w:val="auto"/>
        </w:rPr>
      </w:pPr>
    </w:p>
    <w:p>
      <w:pPr>
        <w:ind w:left="424" w:right="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also cover any additional shares of common stock, $0.001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Life360,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Life360, Inc. 2011 Stock Plan (as amended, the “</w:t>
      </w:r>
      <w:r>
        <w:rPr>
          <w:rFonts w:ascii="Times New Roman" w:cs="Times New Roman" w:eastAsia="Times New Roman" w:hAnsi="Times New Roman"/>
          <w:sz w:val="18"/>
          <w:szCs w:val="18"/>
          <w:b w:val="1"/>
          <w:bCs w:val="1"/>
          <w:i w:val="1"/>
          <w:iCs w:val="1"/>
          <w:color w:val="auto"/>
        </w:rPr>
        <w:t>Stock Plan</w:t>
      </w:r>
      <w:r>
        <w:rPr>
          <w:rFonts w:ascii="Times New Roman" w:cs="Times New Roman" w:eastAsia="Times New Roman" w:hAnsi="Times New Roman"/>
          <w:sz w:val="18"/>
          <w:szCs w:val="18"/>
          <w:color w:val="auto"/>
        </w:rPr>
        <w:t>”) by reason of any stock dividend, stock split, recapitalization or any other similar transaction which results in an increase in the number of shares of the Registrant’s outstanding Common Stock.</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in accordance with Rule 457(c) and (h) of the Securities Act. The proposed maximum offering price per share of $15.52 was computed by averaging the high and low prices of a share of the Registrant’s Common Stock (traded as three CHESS Depositary Interests (“</w:t>
      </w:r>
      <w:r>
        <w:rPr>
          <w:rFonts w:ascii="Times New Roman" w:cs="Times New Roman" w:eastAsia="Times New Roman" w:hAnsi="Times New Roman"/>
          <w:sz w:val="18"/>
          <w:szCs w:val="18"/>
          <w:b w:val="1"/>
          <w:bCs w:val="1"/>
          <w:i w:val="1"/>
          <w:iCs w:val="1"/>
          <w:color w:val="auto"/>
        </w:rPr>
        <w:t>CDIs</w:t>
      </w:r>
      <w:r>
        <w:rPr>
          <w:rFonts w:ascii="Times New Roman" w:cs="Times New Roman" w:eastAsia="Times New Roman" w:hAnsi="Times New Roman"/>
          <w:sz w:val="18"/>
          <w:szCs w:val="18"/>
          <w:color w:val="auto"/>
        </w:rPr>
        <w:t>”) on the Australian Securities Exchange, on February 26, 2024, which date is within five business days prior to the filing of the Registration Statement, and multiplying such average by 3 (to account for the 1:3 ratio of Common Stock to CDIs). The U.S. dollar equivalent of the maximum offering price per share has been calculated using an exchange rate of 0.6566 to convert Australian dollars to U.S. dollars as of February 23, 2024, as announced by the Federal Reserve as of 12:00 p.m., Eastern Time.</w:t>
      </w:r>
    </w:p>
    <w:p>
      <w:pPr>
        <w:spacing w:after="0" w:line="2"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authorized for issuance under the Stock Plan on January 1, 2024, pursuant to an “evergreen” provision contained in the Stock Plan.</w:t>
      </w:r>
    </w:p>
    <w:p>
      <w:pPr>
        <w:ind w:left="424" w:right="340"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 of the Securities Act by calculating the product of (i) the proposed maximum aggregate offering price and (ii) 0.00014760.</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
      <w:numFmt w:val="bullet"/>
      <w:start w:val="1"/>
    </w:lvl>
  </w:abstractNum>
  <w:abstractNum w:abstractNumId="2">
    <w:nsid w:val="625558EC"/>
    <w:multiLevelType w:val="hybridMultilevel"/>
    <w:lvl w:ilvl="0">
      <w:lvlJc w:val="left"/>
      <w:lvlText w:val="%1"/>
      <w:numFmt w:val="decimal"/>
      <w:start w:val="107"/>
    </w:lvl>
  </w:abstractNum>
  <w:abstractNum w:abstractNumId="3">
    <w:nsid w:val="238E1F29"/>
    <w:multiLevelType w:val="hybridMultilevel"/>
    <w:lvl w:ilvl="0">
      <w:lvlJc w:val="left"/>
      <w:lvlText w:val="%1:"/>
      <w:numFmt w:val="upperLetter"/>
      <w:start w:val="20"/>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png"/><Relationship Id="rId34" Type="http://schemas.openxmlformats.org/officeDocument/2006/relationships/image" Target="media/image20.jpeg"/><Relationship Id="rId35" Type="http://schemas.openxmlformats.org/officeDocument/2006/relationships/image" Target="media/image21.pn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png"/><Relationship Id="rId41" Type="http://schemas.openxmlformats.org/officeDocument/2006/relationships/image" Target="media/image27.png"/><Relationship Id="rId19" Type="http://schemas.openxmlformats.org/officeDocument/2006/relationships/hyperlink" Target="http://www.sec.gov/ix?doc=/Archives/edgar/data/0001581760/000158176024000006/lifx-20231231.htm" TargetMode="External"/><Relationship Id="rId20" Type="http://schemas.openxmlformats.org/officeDocument/2006/relationships/hyperlink" Target="http://www.sec.gov/Archives/edgar/data/1581760/000119312522187348/d328928d1012ga.htm#rom328928_12" TargetMode="External"/><Relationship Id="rId23" Type="http://schemas.openxmlformats.org/officeDocument/2006/relationships/hyperlink" Target="http://www.sec.gov/Archives/edgar/data/1581760/000119312522120522/d328928dex31.htm" TargetMode="External"/><Relationship Id="rId24" Type="http://schemas.openxmlformats.org/officeDocument/2006/relationships/hyperlink" Target="http://www.sec.gov/Archives/edgar/data/1581760/000158176023000031/exhibit32-life360fy22xbyla.htm" TargetMode="External"/><Relationship Id="rId25" Type="http://schemas.openxmlformats.org/officeDocument/2006/relationships/hyperlink" Target="http://www.sec.gov/Archives/edgar/data/1581760/000119312522120522/d328928dex102.htm" TargetMode="External"/><Relationship Id="rId26" Type="http://schemas.openxmlformats.org/officeDocument/2006/relationships/hyperlink" Target="http://www.sec.gov/Archives/edgar/data/1581760/000119312522120522/d328928dex103.htm" TargetMode="External"/><Relationship Id="rId27" Type="http://schemas.openxmlformats.org/officeDocument/2006/relationships/hyperlink" Target="http://www.sec.gov/Archives/edgar/data/1581760/000119312522120522/d32892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2024-03-01T15:55:29Z</dcterms:created>
  <dcterms:modified xsi:type="dcterms:W3CDTF">2024-03-01T15:55:29Z</dcterms:modified>
</cp:coreProperties>
</file>