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54000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5400040"/>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Morin Brit</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1020" w:type="dxa"/>
            <w:vAlign w:val="bottom"/>
            <w:tcBorders>
              <w:top w:val="single" w:sz="8" w:color="0000EE"/>
              <w:bottom w:val="single" w:sz="8" w:color="9A9A9A"/>
            </w:tcBorders>
          </w:tcPr>
          <w:p>
            <w:pPr>
              <w:spacing w:after="0"/>
              <w:rPr>
                <w:sz w:val="17"/>
                <w:szCs w:val="17"/>
                <w:color w:val="auto"/>
              </w:rPr>
            </w:pPr>
          </w:p>
        </w:tc>
        <w:tc>
          <w:tcPr>
            <w:tcW w:w="204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06/27/2022</w:t>
            </w:r>
          </w:p>
        </w:tc>
        <w:tc>
          <w:tcPr>
            <w:tcW w:w="0" w:type="dxa"/>
            <w:vAlign w:val="bottom"/>
          </w:tcPr>
          <w:p>
            <w:pPr>
              <w:spacing w:after="0"/>
              <w:rPr>
                <w:sz w:val="1"/>
                <w:szCs w:val="1"/>
                <w:color w:val="auto"/>
              </w:rPr>
            </w:pPr>
          </w:p>
        </w:tc>
      </w:tr>
    </w:tbl>
    <w:p>
      <w:pPr>
        <w:spacing w:after="0" w:line="150"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060" w:type="dxa"/>
            <w:vAlign w:val="bottom"/>
          </w:tcPr>
          <w:p>
            <w:pPr>
              <w:ind w:left="280"/>
              <w:spacing w:after="0"/>
              <w:rPr>
                <w:sz w:val="20"/>
                <w:szCs w:val="20"/>
                <w:color w:val="auto"/>
              </w:rPr>
            </w:pPr>
            <w:r>
              <w:rPr>
                <w:rFonts w:ascii="Arial" w:cs="Arial" w:eastAsia="Arial" w:hAnsi="Arial"/>
                <w:sz w:val="15"/>
                <w:szCs w:val="15"/>
                <w:color w:val="auto"/>
              </w:rPr>
              <w:t>(First)</w:t>
            </w:r>
          </w:p>
        </w:tc>
        <w:tc>
          <w:tcPr>
            <w:tcW w:w="1260" w:type="dxa"/>
            <w:vAlign w:val="bottom"/>
          </w:tcPr>
          <w:p>
            <w:pPr>
              <w:jc w:val="center"/>
              <w:ind w:right="114"/>
              <w:spacing w:after="0"/>
              <w:rPr>
                <w:sz w:val="20"/>
                <w:szCs w:val="20"/>
                <w:color w:val="auto"/>
              </w:rPr>
            </w:pPr>
            <w:r>
              <w:rPr>
                <w:rFonts w:ascii="Arial" w:cs="Arial" w:eastAsia="Arial" w:hAnsi="Arial"/>
                <w:sz w:val="15"/>
                <w:szCs w:val="15"/>
                <w:color w:val="auto"/>
                <w:w w:val="99"/>
              </w:rPr>
              <w:t>(Middle)</w:t>
            </w:r>
          </w:p>
        </w:tc>
      </w:tr>
      <w:tr>
        <w:trPr>
          <w:trHeight w:val="310"/>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LIFE360, INC.</w:t>
            </w:r>
          </w:p>
        </w:tc>
        <w:tc>
          <w:tcPr>
            <w:tcW w:w="1260" w:type="dxa"/>
            <w:vAlign w:val="bottom"/>
          </w:tcPr>
          <w:p>
            <w:pPr>
              <w:spacing w:after="0"/>
              <w:rPr>
                <w:sz w:val="24"/>
                <w:szCs w:val="24"/>
                <w:color w:val="auto"/>
              </w:rPr>
            </w:pPr>
          </w:p>
        </w:tc>
      </w:tr>
      <w:tr>
        <w:trPr>
          <w:trHeight w:val="30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539 BRYANT STREET, SUITE 402</w:t>
            </w:r>
          </w:p>
        </w:tc>
      </w:tr>
      <w:tr>
        <w:trPr>
          <w:trHeight w:val="177"/>
        </w:trPr>
        <w:tc>
          <w:tcPr>
            <w:tcW w:w="780" w:type="dxa"/>
            <w:vAlign w:val="bottom"/>
            <w:tcBorders>
              <w:bottom w:val="single" w:sz="8" w:color="9A9A9A"/>
            </w:tcBorders>
          </w:tcPr>
          <w:p>
            <w:pPr>
              <w:spacing w:after="0"/>
              <w:rPr>
                <w:sz w:val="15"/>
                <w:szCs w:val="15"/>
                <w:color w:val="auto"/>
              </w:rPr>
            </w:pPr>
          </w:p>
        </w:tc>
        <w:tc>
          <w:tcPr>
            <w:tcW w:w="1060" w:type="dxa"/>
            <w:vAlign w:val="bottom"/>
            <w:tcBorders>
              <w:bottom w:val="single" w:sz="8" w:color="9A9A9A"/>
            </w:tcBorders>
          </w:tcPr>
          <w:p>
            <w:pPr>
              <w:spacing w:after="0"/>
              <w:rPr>
                <w:sz w:val="15"/>
                <w:szCs w:val="15"/>
                <w:color w:val="auto"/>
              </w:rPr>
            </w:pPr>
          </w:p>
        </w:tc>
        <w:tc>
          <w:tcPr>
            <w:tcW w:w="126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0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7"/>
        </w:trPr>
        <w:tc>
          <w:tcPr>
            <w:tcW w:w="780" w:type="dxa"/>
            <w:vAlign w:val="bottom"/>
          </w:tcPr>
          <w:p>
            <w:pPr>
              <w:ind w:left="40"/>
              <w:spacing w:after="0" w:line="207" w:lineRule="exact"/>
              <w:rPr>
                <w:sz w:val="20"/>
                <w:szCs w:val="20"/>
                <w:color w:val="auto"/>
              </w:rPr>
            </w:pPr>
            <w:r>
              <w:rPr>
                <w:rFonts w:ascii="Times New Roman" w:cs="Times New Roman" w:eastAsia="Times New Roman" w:hAnsi="Times New Roman"/>
                <w:sz w:val="20"/>
                <w:szCs w:val="20"/>
                <w:color w:val="0000FF"/>
              </w:rPr>
              <w:t>SAN</w:t>
            </w:r>
          </w:p>
        </w:tc>
        <w:tc>
          <w:tcPr>
            <w:tcW w:w="10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515"/>
        </w:trPr>
        <w:tc>
          <w:tcPr>
            <w:tcW w:w="184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 xml:space="preserve">FRANCISCO </w:t>
            </w:r>
            <w:r>
              <w:rPr>
                <w:rFonts w:ascii="Times New Roman" w:cs="Times New Roman" w:eastAsia="Times New Roman" w:hAnsi="Times New Roman"/>
                <w:sz w:val="39"/>
                <w:szCs w:val="39"/>
                <w:color w:val="0000FF"/>
                <w:vertAlign w:val="superscript"/>
              </w:rPr>
              <w:t>CA</w:t>
            </w:r>
          </w:p>
        </w:tc>
        <w:tc>
          <w:tcPr>
            <w:tcW w:w="1260" w:type="dxa"/>
            <w:vAlign w:val="bottom"/>
          </w:tcPr>
          <w:p>
            <w:pPr>
              <w:jc w:val="right"/>
              <w:ind w:right="394"/>
              <w:spacing w:after="0"/>
              <w:rPr>
                <w:sz w:val="20"/>
                <w:szCs w:val="20"/>
                <w:color w:val="auto"/>
              </w:rPr>
            </w:pPr>
            <w:r>
              <w:rPr>
                <w:rFonts w:ascii="Times New Roman" w:cs="Times New Roman" w:eastAsia="Times New Roman" w:hAnsi="Times New Roman"/>
                <w:sz w:val="20"/>
                <w:szCs w:val="20"/>
                <w:color w:val="0000FF"/>
              </w:rPr>
              <w:t>94107</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Life360,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360.AX</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39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371"/>
        </w:trPr>
        <w:tc>
          <w:tcPr>
            <w:tcW w:w="20" w:type="dxa"/>
            <w:vAlign w:val="bottom"/>
            <w:tcBorders>
              <w:bottom w:val="single" w:sz="8" w:color="2C2C2C"/>
            </w:tcBorders>
          </w:tcPr>
          <w:p>
            <w:pPr>
              <w:spacing w:after="0"/>
              <w:rPr>
                <w:sz w:val="24"/>
                <w:szCs w:val="24"/>
                <w:color w:val="auto"/>
              </w:rPr>
            </w:pPr>
          </w:p>
        </w:tc>
        <w:tc>
          <w:tcPr>
            <w:tcW w:w="27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20"/>
                <w:szCs w:val="20"/>
                <w:color w:val="0000FF"/>
                <w:w w:val="91"/>
              </w:rPr>
              <w:t>17,636</w:t>
            </w:r>
            <w:r>
              <w:rPr>
                <w:rFonts w:ascii="Times New Roman" w:cs="Times New Roman" w:eastAsia="Times New Roman" w:hAnsi="Times New Roman"/>
                <w:sz w:val="25"/>
                <w:szCs w:val="25"/>
                <w:color w:val="008000"/>
                <w:w w:val="91"/>
                <w:vertAlign w:val="superscript"/>
              </w:rPr>
              <w:t>(1)</w:t>
            </w:r>
          </w:p>
        </w:tc>
        <w:tc>
          <w:tcPr>
            <w:tcW w:w="880" w:type="dxa"/>
            <w:vAlign w:val="bottom"/>
            <w:tcBorders>
              <w:bottom w:val="single" w:sz="8" w:color="2C2C2C"/>
            </w:tcBorders>
            <w:gridSpan w:val="2"/>
          </w:tcPr>
          <w:p>
            <w:pPr>
              <w:ind w:left="720"/>
              <w:spacing w:after="0"/>
              <w:rPr>
                <w:sz w:val="20"/>
                <w:szCs w:val="20"/>
                <w:color w:val="auto"/>
              </w:rPr>
            </w:pPr>
            <w:r>
              <w:rPr>
                <w:rFonts w:ascii="Times New Roman" w:cs="Times New Roman" w:eastAsia="Times New Roman" w:hAnsi="Times New Roman"/>
                <w:sz w:val="20"/>
                <w:szCs w:val="20"/>
                <w:color w:val="0000FF"/>
                <w:w w:val="96"/>
              </w:rPr>
              <w:t>D</w:t>
            </w:r>
          </w:p>
        </w:tc>
        <w:tc>
          <w:tcPr>
            <w:tcW w:w="94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14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44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5740" w:type="dxa"/>
            <w:vAlign w:val="bottom"/>
            <w:gridSpan w:val="7"/>
          </w:tcPr>
          <w:p>
            <w:pPr>
              <w:spacing w:after="0"/>
              <w:rPr>
                <w:sz w:val="20"/>
                <w:szCs w:val="20"/>
                <w:color w:val="auto"/>
              </w:rPr>
            </w:pPr>
            <w:r>
              <w:rPr>
                <w:rFonts w:ascii="Arial" w:cs="Arial" w:eastAsia="Arial" w:hAnsi="Arial"/>
                <w:sz w:val="20"/>
                <w:szCs w:val="20"/>
                <w:b w:val="1"/>
                <w:bCs w:val="1"/>
                <w:color w:val="auto"/>
              </w:rPr>
              <w:t>(e.g., puts, calls, warrants, options, convertible securities)</w:t>
            </w:r>
          </w:p>
        </w:tc>
        <w:tc>
          <w:tcPr>
            <w:tcW w:w="94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2"/>
          </w:tcPr>
          <w:p>
            <w:pPr>
              <w:spacing w:after="0"/>
              <w:rPr>
                <w:sz w:val="3"/>
                <w:szCs w:val="3"/>
                <w:color w:val="auto"/>
              </w:rPr>
            </w:pPr>
          </w:p>
        </w:tc>
        <w:tc>
          <w:tcPr>
            <w:tcW w:w="258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8"/>
                <w:szCs w:val="18"/>
                <w:color w:val="auto"/>
              </w:rPr>
            </w:pP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620" w:type="dxa"/>
            <w:vAlign w:val="bottom"/>
            <w:gridSpan w:val="3"/>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40" w:type="dxa"/>
            <w:vAlign w:val="bottom"/>
          </w:tcPr>
          <w:p>
            <w:pPr>
              <w:ind w:left="2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620" w:type="dxa"/>
            <w:vAlign w:val="bottom"/>
            <w:gridSpan w:val="3"/>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74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8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74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940" w:type="dxa"/>
            <w:vAlign w:val="bottom"/>
            <w:vMerge w:val="restart"/>
          </w:tcPr>
          <w:p>
            <w:pPr>
              <w:ind w:left="2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2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740" w:type="dxa"/>
            <w:vAlign w:val="bottom"/>
          </w:tcPr>
          <w:p>
            <w:pPr>
              <w:spacing w:after="0"/>
              <w:rPr>
                <w:sz w:val="5"/>
                <w:szCs w:val="5"/>
                <w:color w:val="auto"/>
              </w:rPr>
            </w:pPr>
          </w:p>
        </w:tc>
        <w:tc>
          <w:tcPr>
            <w:tcW w:w="880" w:type="dxa"/>
            <w:vAlign w:val="bottom"/>
            <w:gridSpan w:val="2"/>
            <w:vMerge w:val="restart"/>
          </w:tcPr>
          <w:p>
            <w:pPr>
              <w:ind w:left="180"/>
              <w:spacing w:after="0"/>
              <w:rPr>
                <w:sz w:val="20"/>
                <w:szCs w:val="20"/>
                <w:color w:val="auto"/>
              </w:rPr>
            </w:pPr>
            <w:r>
              <w:rPr>
                <w:rFonts w:ascii="Arial" w:cs="Arial" w:eastAsia="Arial" w:hAnsi="Arial"/>
                <w:sz w:val="15"/>
                <w:szCs w:val="15"/>
                <w:b w:val="1"/>
                <w:bCs w:val="1"/>
                <w:color w:val="auto"/>
              </w:rPr>
              <w:t>Amount</w:t>
            </w:r>
          </w:p>
        </w:tc>
        <w:tc>
          <w:tcPr>
            <w:tcW w:w="94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46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880" w:type="dxa"/>
            <w:vAlign w:val="bottom"/>
            <w:gridSpan w:val="2"/>
            <w:vMerge w:val="continue"/>
          </w:tcPr>
          <w:p>
            <w:pPr>
              <w:spacing w:after="0"/>
              <w:rPr>
                <w:sz w:val="13"/>
                <w:szCs w:val="13"/>
                <w:color w:val="auto"/>
              </w:rPr>
            </w:pPr>
          </w:p>
        </w:tc>
        <w:tc>
          <w:tcPr>
            <w:tcW w:w="940" w:type="dxa"/>
            <w:vAlign w:val="bottom"/>
          </w:tcPr>
          <w:p>
            <w:pPr>
              <w:ind w:left="2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or</w:t>
            </w:r>
          </w:p>
        </w:tc>
        <w:tc>
          <w:tcPr>
            <w:tcW w:w="94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Number</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jc w:val="center"/>
              <w:spacing w:after="0" w:line="165" w:lineRule="exact"/>
              <w:rPr>
                <w:sz w:val="20"/>
                <w:szCs w:val="20"/>
                <w:color w:val="auto"/>
              </w:rPr>
            </w:pPr>
            <w:r>
              <w:rPr>
                <w:rFonts w:ascii="Arial" w:cs="Arial" w:eastAsia="Arial" w:hAnsi="Arial"/>
                <w:sz w:val="15"/>
                <w:szCs w:val="15"/>
                <w:b w:val="1"/>
                <w:bCs w:val="1"/>
                <w:color w:val="auto"/>
              </w:rPr>
              <w:t>Expiration</w:t>
            </w:r>
          </w:p>
        </w:tc>
        <w:tc>
          <w:tcPr>
            <w:tcW w:w="1740" w:type="dxa"/>
            <w:vAlign w:val="bottom"/>
          </w:tcPr>
          <w:p>
            <w:pPr>
              <w:spacing w:after="0"/>
              <w:rPr>
                <w:sz w:val="14"/>
                <w:szCs w:val="14"/>
                <w:color w:val="auto"/>
              </w:rPr>
            </w:pPr>
          </w:p>
        </w:tc>
        <w:tc>
          <w:tcPr>
            <w:tcW w:w="880" w:type="dxa"/>
            <w:vAlign w:val="bottom"/>
            <w:gridSpan w:val="2"/>
          </w:tcPr>
          <w:p>
            <w:pPr>
              <w:ind w:left="180"/>
              <w:spacing w:after="0" w:line="165" w:lineRule="exact"/>
              <w:rPr>
                <w:sz w:val="20"/>
                <w:szCs w:val="20"/>
                <w:color w:val="auto"/>
              </w:rPr>
            </w:pPr>
            <w:r>
              <w:rPr>
                <w:rFonts w:ascii="Arial" w:cs="Arial" w:eastAsia="Arial" w:hAnsi="Arial"/>
                <w:sz w:val="15"/>
                <w:szCs w:val="15"/>
                <w:b w:val="1"/>
                <w:bCs w:val="1"/>
                <w:color w:val="auto"/>
              </w:rPr>
              <w:t>of</w:t>
            </w:r>
          </w:p>
        </w:tc>
        <w:tc>
          <w:tcPr>
            <w:tcW w:w="9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74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880" w:type="dxa"/>
            <w:vAlign w:val="bottom"/>
            <w:gridSpan w:val="2"/>
          </w:tcPr>
          <w:p>
            <w:pPr>
              <w:ind w:left="180"/>
              <w:spacing w:after="0"/>
              <w:rPr>
                <w:sz w:val="20"/>
                <w:szCs w:val="20"/>
                <w:color w:val="auto"/>
              </w:rPr>
            </w:pPr>
            <w:r>
              <w:rPr>
                <w:rFonts w:ascii="Arial" w:cs="Arial" w:eastAsia="Arial" w:hAnsi="Arial"/>
                <w:sz w:val="15"/>
                <w:szCs w:val="15"/>
                <w:b w:val="1"/>
                <w:bCs w:val="1"/>
                <w:color w:val="auto"/>
              </w:rPr>
              <w:t>Shares</w:t>
            </w:r>
          </w:p>
        </w:tc>
        <w:tc>
          <w:tcPr>
            <w:tcW w:w="9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7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01/24/2028</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93,947</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2.15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(2)</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04/29/2031</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11,663</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13.35</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1280" w:type="dxa"/>
            <w:vAlign w:val="bottom"/>
            <w:tcBorders>
              <w:bottom w:val="single" w:sz="8" w:color="2C2C2C"/>
            </w:tcBorders>
            <w:gridSpan w:val="2"/>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Times New Roman" w:cs="Times New Roman" w:eastAsia="Times New Roman" w:hAnsi="Times New Roman"/>
                <w:sz w:val="13"/>
                <w:szCs w:val="13"/>
                <w:color w:val="008000"/>
              </w:rPr>
              <w:t>(3)</w:t>
            </w:r>
          </w:p>
        </w:tc>
        <w:tc>
          <w:tcPr>
            <w:tcW w:w="900" w:type="dxa"/>
            <w:vAlign w:val="bottom"/>
          </w:tcPr>
          <w:p>
            <w:pPr>
              <w:jc w:val="center"/>
              <w:spacing w:after="0"/>
              <w:rPr>
                <w:sz w:val="20"/>
                <w:szCs w:val="20"/>
                <w:color w:val="auto"/>
              </w:rPr>
            </w:pPr>
            <w:r>
              <w:rPr>
                <w:rFonts w:ascii="Times New Roman" w:cs="Times New Roman" w:eastAsia="Times New Roman" w:hAnsi="Times New Roman"/>
                <w:sz w:val="15"/>
                <w:szCs w:val="15"/>
                <w:color w:val="0000FF"/>
              </w:rPr>
              <w:t>05/20/2032</w:t>
            </w:r>
          </w:p>
        </w:tc>
        <w:tc>
          <w:tcPr>
            <w:tcW w:w="1740" w:type="dxa"/>
            <w:vAlign w:val="bottom"/>
          </w:tcPr>
          <w:p>
            <w:pPr>
              <w:jc w:val="center"/>
              <w:ind w:left="34"/>
              <w:spacing w:after="0"/>
              <w:rPr>
                <w:sz w:val="20"/>
                <w:szCs w:val="20"/>
                <w:color w:val="auto"/>
              </w:rPr>
            </w:pPr>
            <w:r>
              <w:rPr>
                <w:rFonts w:ascii="Times New Roman" w:cs="Times New Roman" w:eastAsia="Times New Roman" w:hAnsi="Times New Roman"/>
                <w:sz w:val="20"/>
                <w:szCs w:val="20"/>
                <w:color w:val="0000FF"/>
                <w:w w:val="97"/>
              </w:rPr>
              <w:t>Common Stock</w:t>
            </w:r>
          </w:p>
        </w:tc>
        <w:tc>
          <w:tcPr>
            <w:tcW w:w="840" w:type="dxa"/>
            <w:vAlign w:val="bottom"/>
          </w:tcPr>
          <w:p>
            <w:pPr>
              <w:ind w:left="200"/>
              <w:spacing w:after="0"/>
              <w:rPr>
                <w:sz w:val="20"/>
                <w:szCs w:val="20"/>
                <w:color w:val="auto"/>
              </w:rPr>
            </w:pPr>
            <w:r>
              <w:rPr>
                <w:rFonts w:ascii="Times New Roman" w:cs="Times New Roman" w:eastAsia="Times New Roman" w:hAnsi="Times New Roman"/>
                <w:sz w:val="20"/>
                <w:szCs w:val="20"/>
                <w:color w:val="0000FF"/>
              </w:rPr>
              <w:t>15,542</w:t>
            </w:r>
          </w:p>
        </w:tc>
        <w:tc>
          <w:tcPr>
            <w:tcW w:w="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20"/>
                <w:szCs w:val="20"/>
                <w:color w:val="0000FF"/>
                <w:w w:val="97"/>
              </w:rPr>
              <w:t>8.19</w:t>
            </w:r>
          </w:p>
        </w:tc>
        <w:tc>
          <w:tcPr>
            <w:tcW w:w="940" w:type="dxa"/>
            <w:vAlign w:val="bottom"/>
          </w:tcPr>
          <w:p>
            <w:pPr>
              <w:ind w:left="400"/>
              <w:spacing w:after="0"/>
              <w:rPr>
                <w:sz w:val="20"/>
                <w:szCs w:val="20"/>
                <w:color w:val="auto"/>
              </w:rPr>
            </w:pPr>
            <w:r>
              <w:rPr>
                <w:rFonts w:ascii="Times New Roman" w:cs="Times New Roman" w:eastAsia="Times New Roman" w:hAnsi="Times New Roman"/>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9" w:lineRule="exact"/>
        <w:rPr>
          <w:sz w:val="24"/>
          <w:szCs w:val="24"/>
          <w:color w:val="auto"/>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Includes 4,507 restricted stock units, each of which represents a contingent right to receive one share of the Issuer's common stock upon vesting.</w:t>
      </w:r>
    </w:p>
    <w:p>
      <w:pPr>
        <w:spacing w:after="0" w:line="52" w:lineRule="exact"/>
        <w:rPr>
          <w:rFonts w:ascii="Times New Roman" w:cs="Times New Roman" w:eastAsia="Times New Roman" w:hAnsi="Times New Roman"/>
          <w:sz w:val="15"/>
          <w:szCs w:val="15"/>
          <w:color w:val="008000"/>
        </w:rPr>
      </w:pPr>
    </w:p>
    <w:p>
      <w:pPr>
        <w:ind w:left="200" w:hanging="155"/>
        <w:spacing w:after="0"/>
        <w:tabs>
          <w:tab w:leader="none" w:pos="20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is fully vested and exercisable.</w:t>
      </w:r>
    </w:p>
    <w:p>
      <w:pPr>
        <w:spacing w:after="0" w:line="52" w:lineRule="exact"/>
        <w:rPr>
          <w:rFonts w:ascii="Times New Roman" w:cs="Times New Roman" w:eastAsia="Times New Roman" w:hAnsi="Times New Roman"/>
          <w:sz w:val="15"/>
          <w:szCs w:val="15"/>
          <w:color w:val="008000"/>
        </w:rPr>
      </w:pPr>
    </w:p>
    <w:p>
      <w:pPr>
        <w:ind w:left="40" w:right="380" w:firstLine="5"/>
        <w:spacing w:after="0" w:line="259" w:lineRule="auto"/>
        <w:tabs>
          <w:tab w:leader="none" w:pos="190" w:val="left"/>
        </w:tabs>
        <w:numPr>
          <w:ilvl w:val="0"/>
          <w:numId w:val="1"/>
        </w:numPr>
        <w:rPr>
          <w:rFonts w:ascii="Times New Roman" w:cs="Times New Roman" w:eastAsia="Times New Roman" w:hAnsi="Times New Roman"/>
          <w:sz w:val="15"/>
          <w:szCs w:val="15"/>
          <w:color w:val="008000"/>
        </w:rPr>
      </w:pPr>
      <w:r>
        <w:rPr>
          <w:rFonts w:ascii="Times New Roman" w:cs="Times New Roman" w:eastAsia="Times New Roman" w:hAnsi="Times New Roman"/>
          <w:sz w:val="15"/>
          <w:szCs w:val="15"/>
          <w:color w:val="008000"/>
        </w:rPr>
        <w:t>The stock option vests and becomes exercisable as to 1/4th of the total number of shares in equal quarterly installments beginning on August 15, 2022, until such time as the option is 100% vested, subject to the continuing service of the Reporting Person on each vesting date.</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127"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Times New Roman" w:cs="Times New Roman" w:eastAsia="Times New Roman" w:hAnsi="Times New Roman"/>
                <w:sz w:val="20"/>
                <w:szCs w:val="20"/>
                <w:color w:val="0000FF"/>
              </w:rPr>
              <w:t>/s/ Daniel Menudier, as</w:t>
            </w: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06/27/2022</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80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38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800" w:type="dxa"/>
            <w:vAlign w:val="bottom"/>
            <w:gridSpan w:val="2"/>
            <w:vMerge w:val="continue"/>
          </w:tcPr>
          <w:p>
            <w:pPr>
              <w:spacing w:after="0"/>
              <w:rPr>
                <w:sz w:val="8"/>
                <w:szCs w:val="8"/>
                <w:color w:val="auto"/>
              </w:rPr>
            </w:pPr>
          </w:p>
        </w:tc>
        <w:tc>
          <w:tcPr>
            <w:tcW w:w="38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2"/>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20"/>
          <w:szCs w:val="20"/>
          <w:color w:val="auto"/>
        </w:rPr>
        <w:t>POWER OF ATTORNEY</w:t>
      </w:r>
    </w:p>
    <w:p>
      <w:pPr>
        <w:spacing w:after="0" w:line="35" w:lineRule="exact"/>
        <w:rPr>
          <w:sz w:val="20"/>
          <w:szCs w:val="20"/>
          <w:color w:val="auto"/>
        </w:rPr>
      </w:pPr>
    </w:p>
    <w:p>
      <w:pPr>
        <w:ind w:right="839" w:firstLine="819"/>
        <w:spacing w:after="0" w:line="238" w:lineRule="auto"/>
        <w:rPr>
          <w:sz w:val="20"/>
          <w:szCs w:val="20"/>
          <w:color w:val="auto"/>
        </w:rPr>
      </w:pPr>
      <w:r>
        <w:rPr>
          <w:rFonts w:ascii="Courier New" w:cs="Courier New" w:eastAsia="Courier New" w:hAnsi="Courier New"/>
          <w:sz w:val="20"/>
          <w:szCs w:val="20"/>
          <w:color w:val="auto"/>
        </w:rPr>
        <w:t>The undersigned as a Section 16 reporting person of Life360, Inc. (the "Company"), hereby constitutes and appoints Russell J. Burke, Kirsten Daru and Daniel Menudier, and each of them, the undersigned's true and lawful attorney-in-fact to:</w:t>
      </w:r>
    </w:p>
    <w:p>
      <w:pPr>
        <w:ind w:left="460" w:hanging="460"/>
        <w:spacing w:after="0"/>
        <w:tabs>
          <w:tab w:leader="none" w:pos="460"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execute, deliver and file for and on behalf of the undersigned, in the</w:t>
      </w:r>
    </w:p>
    <w:p>
      <w:pPr>
        <w:ind w:right="83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undersigned's capacity as an officer and/or director of the Company, Forms 3, 4, and 5 in accordance with Section 16(a) of the Exchange Act;</w:t>
      </w:r>
    </w:p>
    <w:p>
      <w:pPr>
        <w:ind w:right="739"/>
        <w:spacing w:after="0" w:line="264" w:lineRule="auto"/>
        <w:tabs>
          <w:tab w:leader="none" w:pos="468"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w:t>
      </w:r>
    </w:p>
    <w:p>
      <w:pPr>
        <w:spacing w:after="0" w:line="3" w:lineRule="exact"/>
        <w:rPr>
          <w:rFonts w:ascii="Courier New" w:cs="Courier New" w:eastAsia="Courier New" w:hAnsi="Courier New"/>
          <w:sz w:val="18"/>
          <w:szCs w:val="18"/>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seek or obtain, as the undersigned's representative and on the undersigned's behalf, information on transactions in the Company's securities from any third party, including brokers, employee benefit plan administrators and trustees, and the undersigned hereby authorizes any such person to release any such information to the undersigned and approves and ratifies any such release of information; and</w:t>
      </w:r>
    </w:p>
    <w:p>
      <w:pPr>
        <w:spacing w:after="0" w:line="2" w:lineRule="exact"/>
        <w:rPr>
          <w:rFonts w:ascii="Courier New" w:cs="Courier New" w:eastAsia="Courier New" w:hAnsi="Courier New"/>
          <w:sz w:val="20"/>
          <w:szCs w:val="20"/>
          <w:color w:val="auto"/>
        </w:rPr>
      </w:pPr>
    </w:p>
    <w:p>
      <w:pPr>
        <w:ind w:right="619"/>
        <w:spacing w:after="0" w:line="238" w:lineRule="auto"/>
        <w:tabs>
          <w:tab w:leader="none" w:pos="468" w:val="left"/>
        </w:tabs>
        <w:numPr>
          <w:ilvl w:val="0"/>
          <w:numId w:val="3"/>
        </w:numPr>
        <w:rPr>
          <w:rFonts w:ascii="Courier New" w:cs="Courier New" w:eastAsia="Courier New" w:hAnsi="Courier New"/>
          <w:sz w:val="20"/>
          <w:szCs w:val="20"/>
          <w:color w:val="auto"/>
        </w:rPr>
      </w:pPr>
      <w:r>
        <w:rPr>
          <w:rFonts w:ascii="Courier New" w:cs="Courier New" w:eastAsia="Courier New" w:hAnsi="Courier New"/>
          <w:sz w:val="20"/>
          <w:szCs w:val="20"/>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3" w:lineRule="exact"/>
        <w:rPr>
          <w:rFonts w:ascii="Courier New" w:cs="Courier New" w:eastAsia="Courier New" w:hAnsi="Courier New"/>
          <w:sz w:val="20"/>
          <w:szCs w:val="20"/>
          <w:color w:val="auto"/>
        </w:rPr>
      </w:pPr>
    </w:p>
    <w:p>
      <w:pPr>
        <w:ind w:right="61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 The undersigned further acknowledges and agrees that the attorney-in-fact and the Company are relying on written and oral information provided by the undersigned to complete such forms and the undersigned is responsible for reviewing the completed forms prior to their filing. The attorney-in-fact and the Company are not responsible for any errors or omissions in such filings. The attorney-in-fact and the Company are not responsible for determining whether or not the transactions reported could be matched with any other transactions for the purpose of determining liability for short-swing profits under Section 16(b).</w:t>
      </w:r>
    </w:p>
    <w:p>
      <w:pPr>
        <w:spacing w:after="0" w:line="9"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2" w:lineRule="exact"/>
        <w:rPr>
          <w:rFonts w:ascii="Courier New" w:cs="Courier New" w:eastAsia="Courier New" w:hAnsi="Courier New"/>
          <w:sz w:val="20"/>
          <w:szCs w:val="20"/>
          <w:color w:val="auto"/>
        </w:rPr>
      </w:pPr>
    </w:p>
    <w:p>
      <w:pPr>
        <w:ind w:right="739" w:firstLine="819"/>
        <w:spacing w:after="0" w:line="238"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IN WITNESS WHEREOF, the undersigned has caused this Power of Attorney to be executed as of 05/31/2022.</w:t>
      </w:r>
    </w:p>
    <w:p>
      <w:pPr>
        <w:ind w:right="7979"/>
        <w:spacing w:after="0" w:line="310" w:lineRule="auto"/>
        <w:rPr>
          <w:rFonts w:ascii="Courier New" w:cs="Courier New" w:eastAsia="Courier New" w:hAnsi="Courier New"/>
          <w:sz w:val="20"/>
          <w:szCs w:val="20"/>
          <w:color w:val="auto"/>
        </w:rPr>
      </w:pPr>
      <w:r>
        <w:rPr>
          <w:rFonts w:ascii="Courier New" w:cs="Courier New" w:eastAsia="Courier New" w:hAnsi="Courier New"/>
          <w:sz w:val="20"/>
          <w:szCs w:val="20"/>
          <w:color w:val="auto"/>
        </w:rPr>
        <w:t>/s/ Brit Morin Name: Brit Morin</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932653" TargetMode="External"/><Relationship Id="rId11" Type="http://schemas.openxmlformats.org/officeDocument/2006/relationships/hyperlink" Target="http://www.sec.gov/cgi-bin/browse-edgar?action=getcompany&amp;CIK=00015817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2022-06-27T18:37:32Z</dcterms:created>
  <dcterms:modified xsi:type="dcterms:W3CDTF">2022-06-27T18:37:32Z</dcterms:modified>
</cp:coreProperties>
</file>