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Stick Susan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LIFE360,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Life360,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LIF</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80" w:type="dxa"/>
            <w:vAlign w:val="bottom"/>
            <w:tcBorders>
              <w:bottom w:val="single" w:sz="8" w:color="0000EE"/>
            </w:tcBorders>
          </w:tcPr>
          <w:p>
            <w:pPr>
              <w:spacing w:after="0"/>
              <w:rPr>
                <w:sz w:val="3"/>
                <w:szCs w:val="3"/>
                <w:color w:val="auto"/>
              </w:rPr>
            </w:pPr>
          </w:p>
        </w:tc>
        <w:tc>
          <w:tcPr>
            <w:tcW w:w="2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26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1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06/20/2024</w:t>
            </w:r>
          </w:p>
        </w:tc>
        <w:tc>
          <w:tcPr>
            <w:tcW w:w="2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880"/>
              <w:spacing w:after="0"/>
              <w:rPr>
                <w:sz w:val="20"/>
                <w:szCs w:val="20"/>
                <w:color w:val="auto"/>
              </w:rPr>
            </w:pPr>
            <w:r>
              <w:rPr>
                <w:rFonts w:ascii="Times New Roman" w:cs="Times New Roman" w:eastAsia="Times New Roman" w:hAnsi="Times New Roman"/>
                <w:sz w:val="17"/>
                <w:szCs w:val="17"/>
                <w:color w:val="0000FF"/>
              </w:rPr>
              <w:t>General Counsel</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2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26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06/20/2024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403</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31.25</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112,250</w:t>
            </w:r>
            <w:r>
              <w:rPr>
                <w:rFonts w:ascii="Times New Roman" w:cs="Times New Roman" w:eastAsia="Times New Roman" w:hAnsi="Times New Roman"/>
                <w:sz w:val="22"/>
                <w:szCs w:val="22"/>
                <w:color w:val="008000"/>
                <w:vertAlign w:val="superscript"/>
              </w:rPr>
              <w:t>(2)(3)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is not a sale of shares by the Reporting Person. Instead, this represents shares that have been withheld by the Issuer to satisfy its income tax and withholding and remittance obligations in connection with the vesting and net settlement of previously reported restricted stock units.</w:t>
      </w:r>
    </w:p>
    <w:p>
      <w:pPr>
        <w:spacing w:after="0" w:line="7" w:lineRule="exact"/>
        <w:rPr>
          <w:rFonts w:ascii="Times New Roman" w:cs="Times New Roman" w:eastAsia="Times New Roman" w:hAnsi="Times New Roman"/>
          <w:sz w:val="13"/>
          <w:szCs w:val="13"/>
          <w:color w:val="008000"/>
        </w:rPr>
      </w:pPr>
    </w:p>
    <w:p>
      <w:pPr>
        <w:ind w:left="40" w:right="4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common stock and the number of common stock underlying Chess Depositary Interests ("CDIs") as converted on a 1:3 common stock to CDI ratio. The CDIs are traded on the Australian Securities Exchange (the "ASX") and are held by CHESS Depositary Nominees Pty, Limited, a subsidiary of ASX Limited, the company that operates the ASX.</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111,522 restricted stock units previously granted, each of which represents a contingent right to receive one share of the Issuer's common stock upon vesting.</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Jay Sood, Attorney-in-Fact  06/24/2024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989267" TargetMode="External"/><Relationship Id="rId13"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2024-06-24T14:56:48Z</dcterms:created>
  <dcterms:modified xsi:type="dcterms:W3CDTF">2024-06-24T14:56:48Z</dcterms:modified>
</cp:coreProperties>
</file>