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jc w:val="center"/>
        <w:ind w:left="1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8"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-7620</wp:posOffset>
            </wp:positionV>
            <wp:extent cx="137160"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96850"/>
                    </a:xfrm>
                    <a:prstGeom prst="rect">
                      <a:avLst/>
                    </a:prstGeom>
                    <a:noFill/>
                  </pic:spPr>
                </pic:pic>
              </a:graphicData>
            </a:graphic>
          </wp:anchor>
        </w:drawing>
      </w:r>
    </w:p>
    <w:p>
      <w:pPr>
        <w:ind w:left="360" w:right="12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440" w:type="dxa"/>
            <w:vAlign w:val="bottom"/>
          </w:tcPr>
          <w:p>
            <w:pPr>
              <w:jc w:val="center"/>
              <w:ind w:right="3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jc w:val="center"/>
              <w:ind w:right="32"/>
              <w:spacing w:after="0" w:line="148" w:lineRule="exact"/>
              <w:rPr>
                <w:sz w:val="20"/>
                <w:szCs w:val="20"/>
                <w:color w:val="auto"/>
              </w:rPr>
            </w:pPr>
            <w:r>
              <w:rPr>
                <w:rFonts w:ascii="Arial" w:cs="Arial" w:eastAsia="Arial" w:hAnsi="Arial"/>
                <w:sz w:val="14"/>
                <w:szCs w:val="14"/>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4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440" w:type="dxa"/>
            <w:vAlign w:val="bottom"/>
            <w:vMerge w:val="restart"/>
          </w:tcPr>
          <w:p>
            <w:pPr>
              <w:jc w:val="center"/>
              <w:ind w:right="3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4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4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440" w:type="dxa"/>
            <w:vAlign w:val="bottom"/>
            <w:vMerge w:val="restart"/>
          </w:tcPr>
          <w:p>
            <w:pPr>
              <w:jc w:val="center"/>
              <w:ind w:right="3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4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4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5349240</wp:posOffset>
            </wp:positionH>
            <wp:positionV relativeFrom="paragraph">
              <wp:posOffset>-655955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-655955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-1543685</wp:posOffset>
            </wp:positionH>
            <wp:positionV relativeFrom="paragraph">
              <wp:posOffset>20320</wp:posOffset>
            </wp:positionV>
            <wp:extent cx="6987540" cy="5570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57085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00" w:space="220"/>
            <w:col w:w="8660"/>
          </w:cols>
          <w:pgMar w:left="460" w:top="226" w:right="359" w:bottom="1051"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Samir</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LIFE360,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1900 SOUTH NORFOLK STREET, SUITE 310</w:t>
      </w:r>
    </w:p>
    <w:p>
      <w:pPr>
        <w:spacing w:after="0" w:line="31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SAN MATEO</w:t>
            </w:r>
          </w:p>
        </w:tc>
        <w:tc>
          <w:tcPr>
            <w:tcW w:w="920" w:type="dxa"/>
            <w:vAlign w:val="bottom"/>
          </w:tcPr>
          <w:p>
            <w:pPr>
              <w:ind w:left="120"/>
              <w:spacing w:after="0"/>
              <w:rPr>
                <w:sz w:val="20"/>
                <w:szCs w:val="20"/>
                <w:color w:val="auto"/>
              </w:rPr>
            </w:pPr>
            <w:r>
              <w:rPr>
                <w:rFonts w:ascii="Arial" w:cs="Arial" w:eastAsia="Arial" w:hAnsi="Arial"/>
                <w:sz w:val="18"/>
                <w:szCs w:val="18"/>
                <w:color w:val="0000FF"/>
              </w:rPr>
              <w:t>CA</w:t>
            </w:r>
          </w:p>
        </w:tc>
        <w:tc>
          <w:tcPr>
            <w:tcW w:w="1600" w:type="dxa"/>
            <w:vAlign w:val="bottom"/>
          </w:tcPr>
          <w:p>
            <w:pPr>
              <w:ind w:left="420"/>
              <w:spacing w:after="0"/>
              <w:rPr>
                <w:sz w:val="20"/>
                <w:szCs w:val="20"/>
                <w:color w:val="auto"/>
              </w:rPr>
            </w:pPr>
            <w:r>
              <w:rPr>
                <w:rFonts w:ascii="Arial" w:cs="Arial" w:eastAsia="Arial" w:hAnsi="Arial"/>
                <w:sz w:val="18"/>
                <w:szCs w:val="18"/>
                <w:color w:val="0000FF"/>
              </w:rPr>
              <w:t>94403</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1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Life360,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LIFX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00" w:type="dxa"/>
            <w:vAlign w:val="bottom"/>
            <w:tcBorders>
              <w:bottom w:val="single" w:sz="8" w:color="0000EE"/>
            </w:tcBorders>
          </w:tcPr>
          <w:p>
            <w:pPr>
              <w:spacing w:after="0"/>
              <w:rPr>
                <w:sz w:val="3"/>
                <w:szCs w:val="3"/>
                <w:color w:val="auto"/>
              </w:rPr>
            </w:pPr>
          </w:p>
        </w:tc>
        <w:tc>
          <w:tcPr>
            <w:tcW w:w="2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264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1200" w:type="dxa"/>
            <w:vAlign w:val="bottom"/>
            <w:gridSpan w:val="3"/>
          </w:tcPr>
          <w:p>
            <w:pPr>
              <w:ind w:left="80"/>
              <w:spacing w:after="0"/>
              <w:rPr>
                <w:sz w:val="20"/>
                <w:szCs w:val="20"/>
                <w:color w:val="auto"/>
              </w:rPr>
            </w:pPr>
            <w:r>
              <w:rPr>
                <w:rFonts w:ascii="Arial" w:cs="Arial" w:eastAsia="Arial" w:hAnsi="Arial"/>
                <w:sz w:val="18"/>
                <w:szCs w:val="18"/>
                <w:color w:val="0000FF"/>
              </w:rPr>
              <w:t>06/05/2023</w:t>
            </w:r>
          </w:p>
        </w:tc>
        <w:tc>
          <w:tcPr>
            <w:tcW w:w="2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8"/>
                <w:szCs w:val="18"/>
                <w:color w:val="0000FF"/>
              </w:rPr>
              <w:t>Chief Technology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264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051"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320" w:type="dxa"/>
            <w:vAlign w:val="bottom"/>
            <w:gridSpan w:val="3"/>
          </w:tcPr>
          <w:p>
            <w:pPr>
              <w:ind w:left="2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3"/>
          </w:tcPr>
          <w:p>
            <w:pPr>
              <w:ind w:left="260"/>
              <w:spacing w:after="0" w:line="136"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gridSpan w:val="3"/>
          </w:tcPr>
          <w:p>
            <w:pPr>
              <w:ind w:left="22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20" w:type="dxa"/>
            <w:vAlign w:val="bottom"/>
            <w:tcBorders>
              <w:top w:val="single" w:sz="8" w:color="2C2C2C"/>
            </w:tcBorders>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w w:val="88"/>
              </w:rPr>
              <w:t>06/05/2023</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(1)(2)</w:t>
            </w:r>
          </w:p>
        </w:tc>
        <w:tc>
          <w:tcPr>
            <w:tcW w:w="840" w:type="dxa"/>
            <w:vAlign w:val="bottom"/>
            <w:tcBorders>
              <w:bottom w:val="single" w:sz="8" w:color="2C2C2C"/>
            </w:tcBorders>
          </w:tcPr>
          <w:p>
            <w:pPr>
              <w:jc w:val="right"/>
              <w:ind w:right="170"/>
              <w:spacing w:after="0"/>
              <w:rPr>
                <w:sz w:val="20"/>
                <w:szCs w:val="20"/>
                <w:color w:val="auto"/>
              </w:rPr>
            </w:pPr>
            <w:r>
              <w:rPr>
                <w:rFonts w:ascii="Arial" w:cs="Arial" w:eastAsia="Arial" w:hAnsi="Arial"/>
                <w:sz w:val="18"/>
                <w:szCs w:val="18"/>
                <w:color w:val="0000FF"/>
              </w:rPr>
              <w:t>1,667</w:t>
            </w: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13.7787</w:t>
            </w:r>
            <w:r>
              <w:rPr>
                <w:rFonts w:ascii="Arial" w:cs="Arial" w:eastAsia="Arial" w:hAnsi="Arial"/>
                <w:sz w:val="22"/>
                <w:szCs w:val="22"/>
                <w:color w:val="008000"/>
                <w:w w:val="85"/>
                <w:vertAlign w:val="superscript"/>
              </w:rPr>
              <w:t>(3)</w:t>
            </w:r>
          </w:p>
        </w:tc>
        <w:tc>
          <w:tcPr>
            <w:tcW w:w="1180" w:type="dxa"/>
            <w:vAlign w:val="bottom"/>
            <w:tcBorders>
              <w:bottom w:val="single" w:sz="8" w:color="2C2C2C"/>
            </w:tcBorders>
            <w:gridSpan w:val="2"/>
          </w:tcPr>
          <w:p>
            <w:pPr>
              <w:jc w:val="center"/>
              <w:ind w:right="119"/>
              <w:spacing w:after="0"/>
              <w:rPr>
                <w:sz w:val="20"/>
                <w:szCs w:val="20"/>
                <w:color w:val="auto"/>
              </w:rPr>
            </w:pPr>
            <w:r>
              <w:rPr>
                <w:rFonts w:ascii="Arial" w:cs="Arial" w:eastAsia="Arial" w:hAnsi="Arial"/>
                <w:sz w:val="18"/>
                <w:szCs w:val="18"/>
                <w:color w:val="0000FF"/>
                <w:w w:val="95"/>
              </w:rPr>
              <w:t>115,442</w:t>
            </w:r>
            <w:r>
              <w:rPr>
                <w:rFonts w:ascii="Arial" w:cs="Arial" w:eastAsia="Arial" w:hAnsi="Arial"/>
                <w:sz w:val="22"/>
                <w:szCs w:val="22"/>
                <w:color w:val="008000"/>
                <w:w w:val="95"/>
                <w:vertAlign w:val="superscript"/>
              </w:rPr>
              <w:t>(4)(5)</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4"/>
                <w:szCs w:val="24"/>
                <w:color w:val="auto"/>
              </w:rPr>
            </w:pPr>
          </w:p>
        </w:tc>
        <w:tc>
          <w:tcPr>
            <w:tcW w:w="1180" w:type="dxa"/>
            <w:vAlign w:val="bottom"/>
            <w:gridSpan w:val="2"/>
          </w:tcPr>
          <w:p>
            <w:pPr>
              <w:ind w:left="360"/>
              <w:spacing w:after="0"/>
              <w:rPr>
                <w:sz w:val="20"/>
                <w:szCs w:val="20"/>
                <w:color w:val="auto"/>
              </w:rPr>
            </w:pPr>
            <w:r>
              <w:rPr>
                <w:rFonts w:ascii="Arial" w:cs="Arial" w:eastAsia="Arial" w:hAnsi="Arial"/>
                <w:sz w:val="18"/>
                <w:szCs w:val="18"/>
                <w:color w:val="0000FF"/>
                <w:w w:val="88"/>
              </w:rPr>
              <w:t>06/05/2023</w:t>
            </w: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ind w:left="120"/>
              <w:spacing w:after="0" w:line="284" w:lineRule="exact"/>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(6)</w:t>
            </w:r>
          </w:p>
        </w:tc>
        <w:tc>
          <w:tcPr>
            <w:tcW w:w="840" w:type="dxa"/>
            <w:vAlign w:val="bottom"/>
          </w:tcPr>
          <w:p>
            <w:pPr>
              <w:jc w:val="right"/>
              <w:ind w:right="170"/>
              <w:spacing w:after="0"/>
              <w:rPr>
                <w:sz w:val="20"/>
                <w:szCs w:val="20"/>
                <w:color w:val="auto"/>
              </w:rPr>
            </w:pPr>
            <w:r>
              <w:rPr>
                <w:rFonts w:ascii="Arial" w:cs="Arial" w:eastAsia="Arial" w:hAnsi="Arial"/>
                <w:sz w:val="18"/>
                <w:szCs w:val="18"/>
                <w:color w:val="0000FF"/>
              </w:rPr>
              <w:t>8,334</w:t>
            </w:r>
          </w:p>
        </w:tc>
        <w:tc>
          <w:tcPr>
            <w:tcW w:w="420" w:type="dxa"/>
            <w:vAlign w:val="bottom"/>
          </w:tcPr>
          <w:p>
            <w:pPr>
              <w:ind w:left="120"/>
              <w:spacing w:after="0"/>
              <w:rPr>
                <w:sz w:val="20"/>
                <w:szCs w:val="20"/>
                <w:color w:val="auto"/>
              </w:rPr>
            </w:pPr>
            <w:r>
              <w:rPr>
                <w:rFonts w:ascii="Arial" w:cs="Arial" w:eastAsia="Arial" w:hAnsi="Arial"/>
                <w:sz w:val="18"/>
                <w:szCs w:val="18"/>
                <w:color w:val="0000FF"/>
              </w:rPr>
              <w:t>D</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13.7267</w:t>
            </w:r>
            <w:r>
              <w:rPr>
                <w:rFonts w:ascii="Arial" w:cs="Arial" w:eastAsia="Arial" w:hAnsi="Arial"/>
                <w:sz w:val="22"/>
                <w:szCs w:val="22"/>
                <w:color w:val="008000"/>
                <w:w w:val="85"/>
                <w:vertAlign w:val="superscript"/>
              </w:rPr>
              <w:t>(3)</w:t>
            </w:r>
          </w:p>
        </w:tc>
        <w:tc>
          <w:tcPr>
            <w:tcW w:w="1180" w:type="dxa"/>
            <w:vAlign w:val="bottom"/>
            <w:gridSpan w:val="2"/>
          </w:tcPr>
          <w:p>
            <w:pPr>
              <w:jc w:val="center"/>
              <w:ind w:right="179"/>
              <w:spacing w:after="0"/>
              <w:rPr>
                <w:sz w:val="20"/>
                <w:szCs w:val="20"/>
                <w:color w:val="auto"/>
              </w:rPr>
            </w:pPr>
            <w:r>
              <w:rPr>
                <w:rFonts w:ascii="Arial" w:cs="Arial" w:eastAsia="Arial" w:hAnsi="Arial"/>
                <w:sz w:val="18"/>
                <w:szCs w:val="18"/>
                <w:color w:val="0000FF"/>
              </w:rPr>
              <w:t>107,108</w:t>
            </w:r>
            <w:r>
              <w:rPr>
                <w:rFonts w:ascii="Arial" w:cs="Arial" w:eastAsia="Arial" w:hAnsi="Arial"/>
                <w:sz w:val="22"/>
                <w:szCs w:val="22"/>
                <w:color w:val="008000"/>
                <w:vertAlign w:val="superscript"/>
              </w:rPr>
              <w:t>(4)</w:t>
            </w:r>
          </w:p>
        </w:tc>
        <w:tc>
          <w:tcPr>
            <w:tcW w:w="900" w:type="dxa"/>
            <w:vAlign w:val="bottom"/>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112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jc w:val="center"/>
              <w:ind w:left="214"/>
              <w:spacing w:after="0"/>
              <w:rPr>
                <w:sz w:val="20"/>
                <w:szCs w:val="20"/>
                <w:color w:val="auto"/>
              </w:rPr>
            </w:pPr>
            <w:r>
              <w:rPr>
                <w:rFonts w:ascii="Arial" w:cs="Arial" w:eastAsia="Arial" w:hAnsi="Arial"/>
                <w:sz w:val="11"/>
                <w:szCs w:val="11"/>
                <w:color w:val="008000"/>
              </w:rPr>
              <w:t>(7)</w:t>
            </w:r>
          </w:p>
        </w:tc>
        <w:tc>
          <w:tcPr>
            <w:tcW w:w="30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1640" w:type="dxa"/>
            <w:vAlign w:val="bottom"/>
            <w:gridSpan w:val="2"/>
          </w:tcPr>
          <w:p>
            <w:pPr>
              <w:ind w:left="2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Transaction</w:t>
            </w: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4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20"/>
              <w:spacing w:after="0" w:line="136"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6"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0" w:type="dxa"/>
            <w:vAlign w:val="bottom"/>
            <w:gridSpan w:val="4"/>
          </w:tcPr>
          <w:p>
            <w:pPr>
              <w:ind w:left="60"/>
              <w:spacing w:after="0"/>
              <w:rPr>
                <w:sz w:val="20"/>
                <w:szCs w:val="20"/>
                <w:color w:val="auto"/>
              </w:rPr>
            </w:pPr>
            <w:r>
              <w:rPr>
                <w:rFonts w:ascii="Arial" w:cs="Arial" w:eastAsia="Arial" w:hAnsi="Arial"/>
                <w:sz w:val="12"/>
                <w:szCs w:val="12"/>
                <w:b w:val="1"/>
                <w:bCs w:val="1"/>
                <w:color w:val="auto"/>
              </w:rPr>
              <w:t>(A)   (D)   Exercisable  Date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180" w:firstLine="9"/>
        <w:spacing w:after="0" w:line="239"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reported purchase was executed on the Australian Securities Exchange (the "ASX") as Chess Depositary Interests ("CDIs") and bought using Australian Dollars. The CDIs are traded on the ASX and are held by CHESS Depositary Nominees Pty, Limited, a subsidiary of ASX Limited, the company that operates the ASX.</w:t>
      </w:r>
    </w:p>
    <w:p>
      <w:pPr>
        <w:spacing w:after="0" w:line="30" w:lineRule="exact"/>
        <w:rPr>
          <w:rFonts w:ascii="Arial" w:cs="Arial" w:eastAsia="Arial" w:hAnsi="Arial"/>
          <w:sz w:val="14"/>
          <w:szCs w:val="14"/>
          <w:color w:val="008000"/>
        </w:rPr>
      </w:pPr>
    </w:p>
    <w:p>
      <w:pPr>
        <w:ind w:left="40" w:right="180" w:firstLine="9"/>
        <w:spacing w:after="0" w:line="230"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purchase reported herein occurred when the reporting person, while scheduling an internet-based transaction, inadvertently purchased the 5,000 CDIs indicated. The reporting person immediately counterbalanced such inadvertent purchase by selling the 5,000 CDIs reported herein on the same day at a higher average price, resulting in a financial loss of $202 to the reporting person. Nothing contained in this report shall be deemed to be an admission that any of the other transactions reported herein is subject to Section 16(b) of the Securities Exchange Act of 1934, as amended ("Exchange Act").</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price is expressed in United States Dollars using the conversion rate on June 5, 2023.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107,108 restricted stock units, each of which represents a contingent right to receive one share of the Issuer's common stock upon vesting.</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CDIs are traded on the ASX and are held by CHESS Depositary Nominees Pty, Limited, a subsidiary of ASX Limited, the company that operates the ASX.</w:t>
      </w:r>
    </w:p>
    <w:p>
      <w:pPr>
        <w:spacing w:after="0" w:line="41" w:lineRule="exact"/>
        <w:rPr>
          <w:rFonts w:ascii="Arial" w:cs="Arial" w:eastAsia="Arial" w:hAnsi="Arial"/>
          <w:sz w:val="14"/>
          <w:szCs w:val="14"/>
          <w:color w:val="008000"/>
        </w:rPr>
      </w:pPr>
    </w:p>
    <w:p>
      <w:pPr>
        <w:ind w:left="40" w:right="320" w:firstLine="9"/>
        <w:spacing w:after="0" w:line="239"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reported sale was executed on the ASX as CDIs and sold using Australian Dollars. The CDIs are traded on the ASX and are held by CHESS Depositary Nominees Pty, Limited, a subsidiary of ASX Limited, the company that operates the ASX.</w:t>
      </w:r>
    </w:p>
    <w:p>
      <w:pPr>
        <w:spacing w:after="0" w:line="30" w:lineRule="exact"/>
        <w:rPr>
          <w:rFonts w:ascii="Arial" w:cs="Arial" w:eastAsia="Arial" w:hAnsi="Arial"/>
          <w:sz w:val="14"/>
          <w:szCs w:val="14"/>
          <w:color w:val="008000"/>
        </w:rPr>
      </w:pPr>
    </w:p>
    <w:p>
      <w:pPr>
        <w:ind w:left="40" w:right="160" w:firstLine="9"/>
        <w:spacing w:after="0" w:line="233"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reported price is a weighted average price. These shares were sold in multiple transactions. Prices ranged from US$13.6397 to US$13.7985 per share, inclusive. The Reporting Person undertakes to provide to the Issuer, any security holder of the Issuer, or to the staff of the Securities and Exchange Commission, upon request, full information regarding the number of shares purchased at each separate price within the range set forth in this footnote.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8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9"/>
              </w:rPr>
              <w:t>/s/ Jay Sood, Attorney-in-fact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06/07/2023</w:t>
            </w:r>
          </w:p>
        </w:tc>
      </w:tr>
      <w:tr>
        <w:trPr>
          <w:trHeight w:val="236"/>
        </w:trPr>
        <w:tc>
          <w:tcPr>
            <w:tcW w:w="214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05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2558"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2023-06-07T17:04:56Z</dcterms:created>
  <dcterms:modified xsi:type="dcterms:W3CDTF">2023-06-07T17:04:56Z</dcterms:modified>
</cp:coreProperties>
</file>